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خالد بن موسى بن فارس بن مرداس بن نهيك أبو علي التيمي القيسي الجوباري
</w:t>
      </w:r>
    </w:p>
    <w:p>
      <w:pPr>
        <w:jc w:val="start"/>
        <w:bidi/>
      </w:pPr>
      <w:r>
        <w:rPr>
          <w:rFonts w:ascii="arial" w:hAnsi="arial" w:eastAsia="arial" w:cs="arial"/>
          <w:sz w:val="28"/>
          <w:szCs w:val="28"/>
          <w:b w:val="1"/>
          <w:bCs w:val="1"/>
          <w:rtl/>
        </w:rPr>
        <w:t xml:space="preserve">أحمد بن عبد الله بن خالد بن موسى بن فارس بن مرداس بن نهيك أبو علي التيمي القيسي الجوباري
</w:t>
      </w:r>
    </w:p>
    <w:p>
      <w:pPr/>
      <w:r>
        <w:rPr/>
        <w:t xml:space="preserve">أحمد بن عبد الله بن خالد بن موسى بن فارس بن مرداس بن نهيك أبو علي التيمي القيسي الجوباري </w:t>
      </w:r>
    </w:p>
    <w:p/>
    <w:p>
      <w:pPr/>
      <w:r>
        <w:rPr/>
        <w:t xml:space="preserve">منسوب إلى جوبار هراة ويقال الجوباري الشيباني من أهل هراة ويعرف بستوق</w:t>
      </w:r>
    </w:p>
    <w:p/>
    <w:p>
      <w:pPr/>
      <w:r>
        <w:rPr/>
        <w:t xml:space="preserve">يروي عن ابن عيينة ووكيع</w:t>
      </w:r>
    </w:p>
    <w:p/>
    <w:p>
      <w:pPr/>
      <w:r>
        <w:rPr/>
        <w:t xml:space="preserve">قال ابن عدي كان يضع الحديث لابن كرام على ما يريده وقال النسائي والدارقطني كذاب وقال أبو حاتم دجال من الدجالين كذاب يضع على الذين يروي عنهم ما لم يحدثوا به لا يحل ذكره في الكتب إلا على سبيل الجرح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2026-10-12T15:41:41+03:00</dcterms:created>
  <dcterms:modified xsi:type="dcterms:W3CDTF">2026-10-12T15:41:41+03:00</dcterms:modified>
</cp:coreProperties>
</file>

<file path=docProps/custom.xml><?xml version="1.0" encoding="utf-8"?>
<Properties xmlns="http://schemas.openxmlformats.org/officeDocument/2006/custom-properties" xmlns:vt="http://schemas.openxmlformats.org/officeDocument/2006/docPropsVTypes"/>
</file>