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جعفر العدل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جعفر العدل
</w:t>
      </w:r>
    </w:p>
    <w:p>
      <w:pPr/>
      <w:r>
        <w:rPr/>
        <w:t xml:space="preserve">أبو عمرو بن جعفر العدل </w:t>
      </w:r>
    </w:p>
    <w:p/>
    <w:p>
      <w:pPr/>
      <w:r>
        <w:rPr/>
        <w:t xml:space="preserve">كذا في ’’المستدرك’’ (1/ 428)، وصوابه: أبو عمرو بن أبي جعفر كما في ’’إتحاف المهرة’’ (6/ 174).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2026-10-12T16:33:17+03:00</dcterms:created>
  <dcterms:modified xsi:type="dcterms:W3CDTF">2026-10-12T16:33:17+03:00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