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أبو عمرو بن أبي جعفر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بن أبي جعفر
</w:t>
      </w:r>
    </w:p>
    <w:p>
      <w:pPr/>
      <w:r>
        <w:rPr/>
        <w:t xml:space="preserve">أبو عمرو بن أبي جعفر </w:t>
      </w:r>
    </w:p>
    <w:p/>
    <w:p>
      <w:pPr/>
      <w:r>
        <w:rPr/>
        <w:t xml:space="preserve">أبو عمرو بن أبي جعفر = محمد بن أحمد بن حمدان بن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أبو عمرو بن أبي جعفر الحيري
</w:t>
      </w:r>
    </w:p>
    <w:p>
      <w:pPr/>
      <w:r>
        <w:rPr/>
        <w:t xml:space="preserve">أبو عمرو بن أبي جعفر الحيري </w:t>
      </w:r>
    </w:p>
    <w:p/>
    <w:p>
      <w:pPr/>
      <w:r>
        <w:rPr/>
        <w:t xml:space="preserve">أبو عمرو بن أبي جعفر الحيري = محمد بن أحمد بن حمدان بن علي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2026-10-12T17:15:15+03:00</dcterms:created>
  <dcterms:modified xsi:type="dcterms:W3CDTF">2026-10-12T17:15:15+03:00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