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محمد بن عبد الله الجراحي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محمد بن عبد الله الجراحي
</w:t>
      </w:r>
    </w:p>
    <w:p>
      <w:pPr/>
      <w:r>
        <w:rPr/>
        <w:t xml:space="preserve">أبو بكر بن محمد بن عبد الله الجراحي </w:t>
      </w:r>
    </w:p>
    <w:p/>
    <w:p>
      <w:pPr/>
      <w:r>
        <w:rPr/>
        <w:t xml:space="preserve">كذا في المدخل إلى ’’السنن’’ (1/ 137)، وصوابه: أبو بكر محمد بن عبد الله بن الجراح الجراحي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2026-10-12T21:04:08+03:00</dcterms:created>
  <dcterms:modified xsi:type="dcterms:W3CDTF">2026-10-12T21:04:08+03:00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