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أحمد بن محمد بن الوليد بن زياد بن الفرات بن سالم، أبو العباس، العارف الواعظ، الزوزني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أحمد بن محمد بن الوليد بن زياد بن الفرات بن سالم، أبو العباس، العارف الواعظ، الزوزني النيسابوري.
</w:t>
      </w:r>
    </w:p>
    <w:p>
      <w:pPr/>
      <w:r>
        <w:rPr/>
        <w:t xml:space="preserve">الوليد بن أحمد بن محمد بن الوليد بن زياد بن الفرات بن سالم، أبو العباس، العارف الواعظ، الزوزني النيسابوري. </w:t>
      </w:r>
    </w:p>
    <w:p/>
    <w:p>
      <w:pPr/>
      <w:r>
        <w:rPr/>
        <w:t xml:space="preserve">سمع: بنيسابور: أبا حامد أحمد بن محمد بن الشرقي، وبالري: أبا محمد عبد الرحمن بن أبي حاتم الرازي، وببغداد: أبا عبد الله الحسين بن إسماعيل المحاملي، وأبا عبد الله بن مخلد الدوري، وبالجزيرة: أبا بكر محمد بن الحسين الحلبي، وبالشام: أبا الحسن خيثمة بن سليمان بن حيدة الأطرابلسي، وبمصر: محمد بن إبراهيم بن شيبة المصري، وبالحجاز: أبا سعيد أحمد بن محمد بن زياد بن الأعرابي، وسمع - أيضاً - محمد بن الحسن بن فيل، ومحمد بن الحسين بن صالح السبيعي نزيل حلب، وطبقتهم.</w:t>
      </w:r>
    </w:p>
    <w:p/>
    <w:p>
      <w:pPr/>
      <w:r>
        <w:rPr/>
        <w:t xml:space="preserve">وعنه: أبو عبد الله الحاكم، وأبو عبد الرحمن السلمي، وأبو نعيم الأصبهاني، والنقاش.</w:t>
      </w:r>
    </w:p>
    <w:p/>
    <w:p>
      <w:pPr/>
      <w:r>
        <w:rPr/>
        <w:t xml:space="preserve">قال الحاكم في ’’تاريخه’’: العارف أبو العباس الواعظ الزوزني، سمع بنيسابور وبغداد ومصر والحجاز والشام - وذكر بعض شيوخه ثم قال: وكان من علماء أهل الحقائق وعباد المتصوفة. وقال أبو عبد الرحمن السلمي في ’’تاريخ الصوفية’’: من حكماء الوقت، كتب الحديث الكثير، وصنف كتباً تقرب من كتب أبي بكر الوراق. وقال أبو نعيم في ’’تاريخ أصبهان’’: قدم أصبهان سنة سبع وخمسين وثلاثمائة، يروي عن العراقيين والرازيين، رأيته بمكة ونيسابور أحد من يرجع إلى كلام حسن في المعاملة والوعظ. وقال الذهبي في ’’تاريخه’’: قال النقاش: حكيم زمانه، له مصنفات لا يخفى على من نظر في كتبه قد وهب الله له من الحكم، كتب الحديث الكثير ورواه، ثم روى عنه النقاش أحاديث ومواعظ. وقال السمعاني: كان عالماً زاهداً صوفياً واعظاً مذكراً، له رحلة إلى العراق والشام، روى عنه الحاكم وأثنى عليه.</w:t>
      </w:r>
    </w:p>
    <w:p/>
    <w:p>
      <w:pPr/>
      <w:r>
        <w:rPr/>
        <w:t xml:space="preserve">مات يوم الجمعة الخامس من شهر ربيع الأولى سنة ست - وقيل: خمس - وسبعين وثلاثمائة.</w:t>
      </w:r>
    </w:p>
    <w:p/>
    <w:p>
      <w:pPr/>
      <w:r>
        <w:rPr/>
        <w:t xml:space="preserve">قلت: [ثقة مكثر، واعظ عابد شهير].</w:t>
      </w:r>
    </w:p>
    <w:p/>
    <w:p>
      <w:pPr/>
      <w:r>
        <w:rPr/>
        <w:t xml:space="preserve">’’مختصر تاريخ نيسابور’’ (54/ أ)، ’’تاريخ أصبهان’’ (2/ 335)، ’’الأنساب’’ (3/ 195)، ’’مختصره’’ ’’اللباب’’ (2/ 80)، ’’تاريخ دمشق’’ (63/ 109)، ’’مختصره’’ (26/ 302)، ’’معجم البلدان’’ (3/ 178)، ’’تاريخ الإسلام’’ (26/ 602).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2026-10-13T00:03:20+03:00</dcterms:created>
  <dcterms:modified xsi:type="dcterms:W3CDTF">2026-10-13T00:03:20+03:00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