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أحمد بن 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أحمد بن خطاب
</w:t>
      </w:r>
    </w:p>
    <w:p>
      <w:pPr/>
      <w:r>
        <w:rPr/>
        <w:t xml:space="preserve">نصر - وفي "المستدرك" نصير - بن أحمد بن خطاب، كذا في "المستدرك" و"تاريخ بغداد" بالخاء المعجمة، وفي "الأنساب" بالحاء المهملة.</w:t>
      </w:r>
    </w:p>
    <w:p/>
    <w:p>
      <w:pPr/>
      <w:r>
        <w:rPr/>
        <w:t xml:space="preserve">حدث عن: محمد بن غالب بن حرب، وعلي بن يعقوب بن عمرو الرقي.</w:t>
      </w:r>
    </w:p>
    <w:p/>
    <w:p>
      <w:pPr/>
      <w:r>
        <w:rPr/>
        <w:t xml:space="preserve">وعنه: أبو عبد الله الحاكم في "مستدركه"، وذكر أنه حدثه ببغداد.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"المستدرك" (4/ 332)، "تاريخ بغداد" (13/ 300) "الأنساب" (2/ 276).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2026-10-13T00:52:36+03:00</dcterms:created>
  <dcterms:modified xsi:type="dcterms:W3CDTF">2026-10-13T00:52:36+03:00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