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سعيد بن موسى بن سعيد، أبو عمران، الفراء، الحنظلي، الهمذاني.
</w:t>
      </w:r>
    </w:p>
    <w:p>
      <w:pPr>
        <w:jc w:val="start"/>
        <w:bidi/>
      </w:pPr>
      <w:r>
        <w:rPr>
          <w:rFonts w:ascii="arial" w:hAnsi="arial" w:eastAsia="arial" w:cs="arial"/>
          <w:sz w:val="28"/>
          <w:szCs w:val="28"/>
          <w:b w:val="1"/>
          <w:bCs w:val="1"/>
          <w:rtl/>
        </w:rPr>
        <w:t xml:space="preserve">موسى بن سعيد بن موسى بن سعيد، أبو عمران، الفراء، الحنظلي، الهمذاني.
</w:t>
      </w:r>
    </w:p>
    <w:p>
      <w:pPr/>
      <w:r>
        <w:rPr/>
        <w:t xml:space="preserve">موسى بن سعيد بن موسى بن سعيد، أبو عمران، الفراء، الحنظلي، الهمذاني. </w:t>
      </w:r>
    </w:p>
    <w:p/>
    <w:p>
      <w:pPr/>
      <w:r>
        <w:rPr/>
        <w:t xml:space="preserve">سمع: محمد بن صالح الأشج، وأحمد بن إسحاق القاضي - بالدينور -، ويحيى بن عبد الله بن ماهان الكرابيسي، وأبا مسلم إبراهيم بن عبد الله، ومحمد بن إسماعيل الصائغ، والحارث بن عبد الله، وبشر بن موسى، وابن الضريس، وعبد الله بن أحمد، وأحمد بن جعفر المستملي، وطبقتهم.</w:t>
      </w:r>
    </w:p>
    <w:p/>
    <w:p>
      <w:pPr/>
      <w:r>
        <w:rPr/>
        <w:t xml:space="preserve">وعنه: أبو عبد الله الحاكم - في ’’مستدركه’’، وذكر أنه حدثه بهمذان، ووصفه بالحافظ - وأبو بكر بن المقرئ - في ’’معجمه’’، وذكر أنه حدثه ببغداد -، وأبو القاسم بن الثلاج، وأبو عبد الله بن مندة، وصالح بن أحمد الحافظ، وعبد الله بن أبي زرعة القزويني، وعدة.</w:t>
      </w:r>
    </w:p>
    <w:p/>
    <w:p>
      <w:pPr/>
      <w:r>
        <w:rPr/>
        <w:t xml:space="preserve">قال صالح بن أحمد الهمذاني في ’’طبقات همذان’’: ثقة صدوق متقن، يحسن هذا الشأن. وقال الخليلي في ’’الإرشاد’’: عالم ثقة، حدثنا عنه شيوخ همذان، وابن أبي زرعة الحافظ بقزوين، وأثنى عليه. وقال الذهبي في ’’النبلاء’’: الإمام مفيد همذان. وقال في ’’التاريخ’’: كان يفهم هذا الشأن.</w:t>
      </w:r>
    </w:p>
    <w:p/>
    <w:p>
      <w:pPr/>
      <w:r>
        <w:rPr/>
        <w:t xml:space="preserve">قال مقيده - عفا الله عنه -: وصفه الحاكم - كماسبق - بالحافظ، وقال في إسناد ساقه من طريقه: رواته كلهم ثقات. وذكره الذهبي فيمن توفي في حدود الخمسين والثلائمائة تقريباً، وذكر في ’’النبلاء’’ أن الحافظ صالح بن أحمد، والخليلي لم يؤرخا موته.</w:t>
      </w:r>
    </w:p>
    <w:p/>
    <w:p>
      <w:pPr/>
      <w:r>
        <w:rPr/>
        <w:t xml:space="preserve">وأما الشيخ الحويني - حفظه الله تعالي - فقد قال في ’’تنبيه الهاجد’’: شيخ الحاكم ترجمه الخطيب في ’’تاريخه’’، ولم يذكر فيه جرحاً ولا تعديلاً.</w:t>
      </w:r>
    </w:p>
    <w:p/>
    <w:p>
      <w:pPr/>
      <w:r>
        <w:rPr/>
        <w:t xml:space="preserve">قلت: [ثقة حافظ ناقد يحسن هذا الشأن].</w:t>
      </w:r>
    </w:p>
    <w:p/>
    <w:p>
      <w:pPr/>
      <w:r>
        <w:rPr/>
        <w:t xml:space="preserve">المستدر (1/ 278)، (2/ 493)، ’’المعرفة’’ (108)، ’’المدخل إلى الإكليل’’ (14)، ’’معجم ابن المقرئ’’ (1303)، ’’الإرشاد’’ (2/ 659)، ’’تاريخ بغداد’’ (13/ 59)، ’’النبلاء’’ (15/ 305)، ’’تاريخ الإسلام’’ (25/ 482).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2026-10-13T00:56:03+03:00</dcterms:created>
  <dcterms:modified xsi:type="dcterms:W3CDTF">2026-10-13T00:56:03+03:00</dcterms:modified>
</cp:coreProperties>
</file>

<file path=docProps/custom.xml><?xml version="1.0" encoding="utf-8"?>
<Properties xmlns="http://schemas.openxmlformats.org/officeDocument/2006/custom-properties" xmlns:vt="http://schemas.openxmlformats.org/officeDocument/2006/docPropsVTypes"/>
</file>