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أحمد بن سعدويه، أبو بكر، البردعي.
</w:t>
      </w:r>
    </w:p>
    <w:p>
      <w:pPr>
        <w:jc w:val="start"/>
        <w:bidi/>
      </w:pPr>
      <w:r>
        <w:rPr>
          <w:rFonts w:ascii="arial" w:hAnsi="arial" w:eastAsia="arial" w:cs="arial"/>
          <w:sz w:val="28"/>
          <w:szCs w:val="28"/>
          <w:b w:val="1"/>
          <w:bCs w:val="1"/>
          <w:rtl/>
        </w:rPr>
        <w:t xml:space="preserve">مكي بن أحمد بن سعدويه، أبو بكر، البردعي.
</w:t>
      </w:r>
    </w:p>
    <w:p>
      <w:pPr/>
      <w:r>
        <w:rPr/>
        <w:t xml:space="preserve">مكي بن أحمد بن سعدويه، أبو بكر، البردعي. </w:t>
      </w:r>
    </w:p>
    <w:p/>
    <w:p>
      <w:pPr/>
      <w:r>
        <w:rPr/>
        <w:t xml:space="preserve">سمع بدمشق: أحمد بن عمير بن جوصا، ومحمد بن يوسف الهروي، وبطرابلس: أبا القاسم عبد الله بن الحسن بن عبد الرحمن البزار، وببغداد: أبا القاسم البغوي، وأبا محمد بن صاعد، وبغيرها: أبا يعلى محمد بن الفضل بن زهير، وأبا عروبة الحراني، ومحمد بن زبان المصري، وأبا جعفر الطحاوي، وعبد الحكم بن أحمد المصري، ومحمد بن أحمد بن رجاء الحنفي، ومحمد بن عمير الحنفي بمصر، وعرس بن فهد الموصلي، وسعيد بن عبد العزيز الحلبي، والعباس بن جابر الحمصي وأبا الفضل العباس بن عمران القاضي، ومحمد بن يوسف الهروي - بدمشق -، والعباس بن محمد بن منصور الفرنداباذي، وطبقتهم.</w:t>
      </w:r>
    </w:p>
    <w:p/>
    <w:p>
      <w:pPr/>
      <w:r>
        <w:rPr/>
        <w:t xml:space="preserve">وعنه: أبو عبد الله الحاكم - في ’’مستدركه’’، والأستاذ أبو الوليد حسان بن محمد الفقيه - وهو أكبر منه -، وأبو الفضل نصر بن أحمد بن يعقوب العطار الطوسي.</w:t>
      </w:r>
    </w:p>
    <w:p/>
    <w:p>
      <w:pPr/>
      <w:r>
        <w:rPr/>
        <w:t xml:space="preserve">قال الحاكم في ’’تاريخه’’: نزيل نيسابور، وكان أحد الرحالة المشهورين بطلب الحديث، ورد نيسابور سنة ثلاثين وثلاثمائة، وأقام بها، ثم إنه خرج إلى ما وراء النهر سنة خمسين وثلاثمائة، سمع ببغداد، والكوفة: أبا جعفر السوداني وأقرانه، وبالبصرة والجزيرة والشام ومصر، وأكثر عن أبي جعفر الطحاوي، فكتب بخراسان ما يتحير فيه الإنسان كثرة، حدثنا عنه الأستاذ أبو الوليد، وتوفي بالشاش سنة أربع وخمسين وثلاثمائة. وقال السمعاني في ’’الأنساب’’: حدث بسمرقند وعقد له مجلس الإملاء بها. وقال ابن عساكر في ’’تاريخه’’: أحد المحدثين المكثرين والرحالين المخلصين.</w:t>
      </w:r>
    </w:p>
    <w:p/>
    <w:p>
      <w:pPr/>
      <w:r>
        <w:rPr/>
        <w:t xml:space="preserve">قلت: [ثقة متقن رحالة مشهور].</w:t>
      </w:r>
    </w:p>
    <w:p/>
    <w:p>
      <w:pPr/>
      <w:r>
        <w:rPr/>
        <w:t xml:space="preserve">’’المستدرك’’ (1/ 347)، ’’مختصر تاريخ نيسابور’’ (54/ أ)، ’’الأنساب’’ (1/ 328)، ’’تاريخ دمشق’’ (60/ 236)، ’’المنتظم’’ (14/ 173)، ’’معجم البلدان’’ (1/ 452)، ’’تاريخ الإسلام’’ (26/ 117).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2026-10-13T00:53:11+03:00</dcterms:created>
  <dcterms:modified xsi:type="dcterms:W3CDTF">2026-10-13T00:53:11+03:00</dcterms:modified>
</cp:coreProperties>
</file>

<file path=docProps/custom.xml><?xml version="1.0" encoding="utf-8"?>
<Properties xmlns="http://schemas.openxmlformats.org/officeDocument/2006/custom-properties" xmlns:vt="http://schemas.openxmlformats.org/officeDocument/2006/docPropsVTypes"/>
</file>