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يعقوب بن ناصح، أبو الحسين، الأديب النحوي، الأصبهانى ثم النيسابوري الفارويي.
</w:t>
      </w:r>
    </w:p>
    <w:p>
      <w:pPr>
        <w:jc w:val="start"/>
        <w:bidi/>
      </w:pPr>
      <w:r>
        <w:rPr>
          <w:rFonts w:ascii="arial" w:hAnsi="arial" w:eastAsia="arial" w:cs="arial"/>
          <w:sz w:val="28"/>
          <w:szCs w:val="28"/>
          <w:b w:val="1"/>
          <w:bCs w:val="1"/>
          <w:rtl/>
        </w:rPr>
        <w:t xml:space="preserve">محمد بن يعقوب بن ناصح، أبو الحسين، الأديب النحوي، الأصبهانى ثم النيسابوري الفارويي.
</w:t>
      </w:r>
    </w:p>
    <w:p>
      <w:pPr/>
      <w:r>
        <w:rPr/>
        <w:t xml:space="preserve">محمد بن يعقوب بن ناصح، أبو الحسين، الأديب النحوي، الأصبهانى ثم النيسابوري الفارويي. </w:t>
      </w:r>
    </w:p>
    <w:p/>
    <w:p>
      <w:pPr/>
      <w:r>
        <w:rPr/>
        <w:t xml:space="preserve">سمع: بشر بن موسى الأسدي، وأبا العباس محمد بن يونس القرشي الكديمي وأقرانهما.</w:t>
      </w:r>
    </w:p>
    <w:p/>
    <w:p>
      <w:pPr/>
      <w:r>
        <w:rPr/>
        <w:t xml:space="preserve">وعنه: أبو عبد الله الحاكم كما في ’’الشعب’’.</w:t>
      </w:r>
    </w:p>
    <w:p/>
    <w:p>
      <w:pPr/>
      <w:r>
        <w:rPr/>
        <w:t xml:space="preserve">وقال في ’’تاريخه’’: كان يسكن سكة فاريه، ويدرس كتب ’’الأدب’’، وكان من أقران أبي عمر الزاهد، وأبي محمد بن درستويه في الاختلاف إلى أبو العباس ثعلب، والمبرد، وكان صدوق اللهجة، من أعيان الأدباء، وأظنه كان صحب السلاطين، ثم ترك صحبتهم، وحدثني الثقة من أصحابنا أنه كان ينشد عن البحتري، غير أني لم أسمع منه ذلك، وسمع الحديث عن: بشر بن موسى الأسدي، وأبي العباس محمد بن يونس القرشي، وأقرانهما، وتوفي في نيسابور في شهر ربيع الآخر من سنة ثلاث وأربعين وثلاثمائة.</w:t>
      </w:r>
    </w:p>
    <w:p/>
    <w:p>
      <w:pPr/>
      <w:r>
        <w:rPr/>
        <w:t xml:space="preserve">قال مقيده - عفا الله عنه -: وقع تصحيف في اسمه في كتاب ’’الشعب’’ للبيهقي ففيه: أخبرنا أبو عبد الله الحافظ في آخر ’’التاريخ’’، حدثنا الحسين بن محمد بن يعقوب بن ناصح الأصبهاني الأديب، حدثنا بشر بن موسى الأسدي. وصوابه: حدثنا أبو الحسين محمد بن يعقوب بن ناصح الأصبهاني الأديب، ولأجل ما تقدم قال محقق ’’الشعب’’ الدكتور عبد العلي حامد: لم أعرفه. والله الموفق.</w:t>
      </w:r>
    </w:p>
    <w:p/>
    <w:p>
      <w:pPr/>
      <w:r>
        <w:rPr/>
        <w:t xml:space="preserve">قلت: [صدوق من أعيان الأدباء].</w:t>
      </w:r>
    </w:p>
    <w:p/>
    <w:p>
      <w:pPr/>
      <w:r>
        <w:rPr/>
        <w:t xml:space="preserve">’’مخصر تاريخ نيسابور’’ (53/ ب)، ’’الشعب’’ (4/ 160)، ’’الأنساب’’ (4/ 311)، ’’مختصره’’ ’’اللباب’’ (2/ 406)، ’’إنباه الرواة’’ (3/ 253)، ’’توضيح المشتبه’’ (7/ 13)، ’’بغية الوعاة’’ (1/ 275).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2026-10-13T01:51:53+03:00</dcterms:created>
  <dcterms:modified xsi:type="dcterms:W3CDTF">2026-10-13T01:51:53+03:00</dcterms:modified>
</cp:coreProperties>
</file>

<file path=docProps/custom.xml><?xml version="1.0" encoding="utf-8"?>
<Properties xmlns="http://schemas.openxmlformats.org/officeDocument/2006/custom-properties" xmlns:vt="http://schemas.openxmlformats.org/officeDocument/2006/docPropsVTypes"/>
</file>