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هشام، أبو عبد الله،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هشام، أبو عبد الله، المروزي.
</w:t>
      </w:r>
    </w:p>
    <w:p>
      <w:pPr/>
      <w:r>
        <w:rPr/>
        <w:t xml:space="preserve">محمد بن هشام، أبو عبد الله، المروزي. </w:t>
      </w:r>
    </w:p>
    <w:p/>
    <w:p>
      <w:pPr/>
      <w:r>
        <w:rPr/>
        <w:t xml:space="preserve">كذا ذكره الحاكم في شيوخه كما في ’’مختصر تاريخه’’، وهو غير محمد بن هشام أبي عبد الله المروذي المترجم في ’’تاريخ بغداد’’ (3/ 360)، فإنه أعلى، فقد ذكر أنه توفي سنة اثنتين وخمسين ومائتين، وأما ما وقع في ’’اللسان’’ (7/ 563) من أن الحاكم، وكذا الدراقطني رويا عنه فوهم كما بينت ذلك في كتابي ’’شيوخ الدارقطني’’، والله الموفق.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2026-10-13T01:47:42+03:00</dcterms:created>
  <dcterms:modified xsi:type="dcterms:W3CDTF">2026-10-13T01:47:42+03:00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