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منصور، أبو جعفر، المذكر.
</w:t>
      </w:r>
    </w:p>
    <w:p>
      <w:pPr>
        <w:jc w:val="start"/>
        <w:bidi/>
      </w:pPr>
      <w:r>
        <w:rPr>
          <w:rFonts w:ascii="arial" w:hAnsi="arial" w:eastAsia="arial" w:cs="arial"/>
          <w:sz w:val="28"/>
          <w:szCs w:val="28"/>
          <w:b w:val="1"/>
          <w:bCs w:val="1"/>
          <w:rtl/>
        </w:rPr>
        <w:t xml:space="preserve">محمد بن منصور، أبو جعفر، المذكر.
</w:t>
      </w:r>
    </w:p>
    <w:p>
      <w:pPr/>
      <w:r>
        <w:rPr/>
        <w:t xml:space="preserve">محمد بن منصور، أبو جعفر، المذكر. </w:t>
      </w:r>
    </w:p>
    <w:p/>
    <w:p>
      <w:pPr/>
      <w:r>
        <w:rPr/>
        <w:t xml:space="preserve">كذا في ’’الشعب’’ (9/ 395/ 6861): أخبرنا أبو عبد الله الحافظ، أخبرنا أبو جعفر محمد بن منصور المذكر، حدثنا يحيى أبو زكريا المقابري. والذي يبدوا أن في هذا الإسناد سقط فإن أبا زكريا المقابري يحيى بن أيوب توفي سنة 234 هـ، وتلميذه محمد بن منصور هو الطوسي توفي سنة أربعة وخمسين ومائتين، والله أعلم.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2026-10-13T02:38:31+03:00</dcterms:created>
  <dcterms:modified xsi:type="dcterms:W3CDTF">2026-10-13T02:38:31+03:00</dcterms:modified>
</cp:coreProperties>
</file>

<file path=docProps/custom.xml><?xml version="1.0" encoding="utf-8"?>
<Properties xmlns="http://schemas.openxmlformats.org/officeDocument/2006/custom-properties" xmlns:vt="http://schemas.openxmlformats.org/officeDocument/2006/docPropsVTypes"/>
</file>