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أبو عمرو، الرازي.
</w:t>
      </w:r>
    </w:p>
    <w:p>
      <w:pPr>
        <w:jc w:val="start"/>
        <w:bidi/>
      </w:pPr>
      <w:r>
        <w:rPr>
          <w:rFonts w:ascii="arial" w:hAnsi="arial" w:eastAsia="arial" w:cs="arial"/>
          <w:sz w:val="28"/>
          <w:szCs w:val="28"/>
          <w:b w:val="1"/>
          <w:bCs w:val="1"/>
          <w:rtl/>
        </w:rPr>
        <w:t xml:space="preserve">محمد بن محمد، أبو عمرو، الرازي.
</w:t>
      </w:r>
    </w:p>
    <w:p>
      <w:pPr/>
      <w:r>
        <w:rPr/>
        <w:t xml:space="preserve">محمد بن محمد، أبو عمرو، الرازي. </w:t>
      </w:r>
    </w:p>
    <w:p/>
    <w:p>
      <w:pPr/>
      <w:r>
        <w:rPr/>
        <w:t xml:space="preserve">كذا في ’’مختصر تاريخ نيسابور’’، ذكره الحاكم في شيوخه الذين رزق السماع منهم بها، ولعله المترجم في ’’تاريخ بغداد’’ بـ محمد بن محمد بن الحسين بن منصور بن إبراهيم بن عبد الله، أبو عمرو النيسابوري. قال الخطيب: قدم بغداد وحدث بها في قطيعة الربيع عن: الحسين بن محمد بن زياد القباني، وأحمد بن سلمة النيسابوريين.</w:t>
      </w:r>
    </w:p>
    <w:p/>
    <w:p>
      <w:pPr/>
      <w:r>
        <w:rPr/>
        <w:t xml:space="preserve">وروى عنه: أبو القاسم بن الثلاج، وأبو أحمد الفرضي. ذكر أبو أحمد أنه سمع منه في سنة ثلاث وأربعين وثلاثمائة.</w:t>
      </w:r>
    </w:p>
    <w:p/>
    <w:p>
      <w:pPr/>
      <w:r>
        <w:rPr/>
        <w:t xml:space="preserve">قلت: [مجهول الحال].</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2026-10-13T02:38:00+03:00</dcterms:created>
  <dcterms:modified xsi:type="dcterms:W3CDTF">2026-10-13T02:38:00+03:00</dcterms:modified>
</cp:coreProperties>
</file>

<file path=docProps/custom.xml><?xml version="1.0" encoding="utf-8"?>
<Properties xmlns="http://schemas.openxmlformats.org/officeDocument/2006/custom-properties" xmlns:vt="http://schemas.openxmlformats.org/officeDocument/2006/docPropsVTypes"/>
</file>