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محمد بن عبيد الله بن عمرو بن زيد، أبو عبد الله - وقيل: أبو الحسين - الواعظ المقرئ، الجرجاني، بصلة.
</w:t>
      </w:r>
    </w:p>
    <w:p>
      <w:pPr>
        <w:jc w:val="start"/>
        <w:bidi/>
      </w:pPr>
      <w:r>
        <w:rPr>
          <w:rFonts w:ascii="arial" w:hAnsi="arial" w:eastAsia="arial" w:cs="arial"/>
          <w:sz w:val="28"/>
          <w:szCs w:val="28"/>
          <w:b w:val="1"/>
          <w:bCs w:val="1"/>
          <w:rtl/>
        </w:rPr>
        <w:t xml:space="preserve">محمد بن محمد بن عبيد الله بن عمرو بن زيد، أبو عبد الله - وقيل: أبو الحسين - الواعظ المقرئ، الجرجاني، بصلة.
</w:t>
      </w:r>
    </w:p>
    <w:p>
      <w:pPr/>
      <w:r>
        <w:rPr/>
        <w:t xml:space="preserve">محمد بن محمد بن عبيد الله بن عمرو بن زيد، أبو عبد الله - وقيل: أبو الحسين - الواعظ المقرئ، الجرجاني، بصلة. </w:t>
      </w:r>
    </w:p>
    <w:p/>
    <w:p>
      <w:pPr/>
      <w:r>
        <w:rPr/>
        <w:t xml:space="preserve">سمع: محمد بن محمد بن سليمان الباغندي، وعمران بن موسى بن مجاشع الجرجاني، وأبا بكر محمد بن إسحاق بن خزيمة، وأبا العباس محمد بن إسحاق السراج، وأبا عمير أحمد بن عمير بن يوسف بن جوصا الدمشقي، وعثمان بن محمد العثماني، وعبد الله بن شيرويه، وعلي بن محمد الجرجاني، وحامد بن شعيب البلخي، والحسن بن سفيان، وعبد الله بن عدي بن عبد الله، وغيرهم.</w:t>
      </w:r>
    </w:p>
    <w:p/>
    <w:p>
      <w:pPr/>
      <w:r>
        <w:rPr/>
        <w:t xml:space="preserve">وعنه: أبو عبد الله الحاكم في ’’المعرفة’’ - ووصفه بالواعظ -، وأبو بكر بن أبي علي الذكواني في ’’معجمه’’، وأبو نصر الإسماعيلي، وأبو نعيم الأصبهاني، وذكر أنه حدثه إملاء، وقال: أخرج عنه أبو الشيخ في كتابه.</w:t>
      </w:r>
    </w:p>
    <w:p/>
    <w:p>
      <w:pPr/>
      <w:r>
        <w:rPr/>
        <w:t xml:space="preserve">قال أبو الشيخ في ’’طبقاته’’: كثير الحديث، كتب بالشام، ومصر، وخراسان، ثقة، صاحب أصول.</w:t>
      </w:r>
    </w:p>
    <w:p/>
    <w:p>
      <w:pPr/>
      <w:r>
        <w:rPr/>
        <w:t xml:space="preserve">قال أبو نعيم في ’’تاريخه’’: كتب بالشام والعراق وخراسان، قدم أصبهان قدماتٍ، وتوفي بها من أهل القرآن والحديث والأخبار كان يملي علينا في الجامع. وقال الذهبي في ’’تذكرة الحفاظ’’: الحافظ الإمام، حدث بأماكن. وقال في ’’النبلاء’’: الإمام المحدث الحجة، عداده في الحفاظ. وقال في ’’التاريخ الكبير’’: المقرئ الحافظ ثقة رحال جوال، أكثر الترحال في الشيخوخة. وقال في موضع آخر: كثير الأسفار. وذكره ابن ناصر الدين في ’’بديعته’’ فقال:</w:t>
      </w:r>
    </w:p>
    <w:p/>
    <w:p>
      <w:pPr>
        <w:jc w:val="center"/>
      </w:pPr>
      <w:r>
        <w:rPr>
          <w:color w:val="ff0000"/>
        </w:rPr>
        <w:t xml:space="preserve">بعيدها الموجود زك النقله</w:t>
      </w:r>
      <w:r>
        <w:rPr>
          <w:color w:val="ff0000"/>
        </w:rPr>
        <w:t xml:space="preserve">      </w:t>
      </w:r>
      <w:r>
        <w:rPr>
          <w:color w:val="ff0000"/>
        </w:rPr>
        <w:t xml:space="preserve">محمد الجرجاني ذاكم بصله</w:t>
      </w:r>
    </w:p>
    <w:p/>
    <w:p>
      <w:pPr/>
      <w:r>
        <w:rPr/>
        <w:t xml:space="preserve">قلت: ولم يعرفه محقق ’’الشعب’’، وكذا محقق ’’ثلاث شعب’’.</w:t>
      </w:r>
    </w:p>
    <w:p/>
    <w:p>
      <w:pPr/>
      <w:r>
        <w:rPr/>
        <w:t xml:space="preserve">قال مقيده - عفا الله عنه -: اختلف في سنة وفاته، فقال السهمي في ’’تاريخ جرجان ’’: توفي سنة أربع وثلاثين وثلاثمائة. ونقل الذهبي في ’’تاريخه’’ عن الحاكم - ووهمه - أنه قال: توفي سنة أربع وأربعين - يعني وثلاثمائة - وقال أبو نعيم: توفي بأصبهان سنة خمس خمسين وثلاثمائة، وبه جزم الذهبي في ’’التاريخ’’، وأعاده فيمن توفي في عشر السبعين وثلاثمائة. وقال في ’’التذكرة’’: لم أدر متى توفي، وبقي إلى بعد الستين وثلاثمائة. وكذا قال في ’’النبلاء’’، وقال ابن حجر في ’’نزهة الألباب’’: كان قبل السبعين وثلاثمائة.</w:t>
      </w:r>
    </w:p>
    <w:p/>
    <w:p>
      <w:pPr/>
      <w:r>
        <w:rPr/>
        <w:t xml:space="preserve">قلت: [ثقة حافظ رحالة واعظ مقرئ].</w:t>
      </w:r>
    </w:p>
    <w:p/>
    <w:p>
      <w:pPr/>
      <w:r>
        <w:rPr/>
        <w:t xml:space="preserve">’’المعرفة’’ (17)، (48)، ’’مختصر تاريخ نيسابور’’ (53/ أ)، ’’طبقات أصبهان’’ (4/ 306)، ’’الشعب’’ (2/ 348)، ’’ثلاث شعب’’ (1/ 335)، ’’تاريخ جرجان’’ (745) ’’أخبار أصبهان’’ (2/ 292)، ’’تكملة الإكمال’’ (6/ 35)، ’’تذكرة الحفاظ’’ (3/ 984)، ’’النبلاء’’ (16/ 271)، ’’تاريخ الإسلام’’ (26/ 132، 468)، ’’توضيح المشتبه’’ (9/ 95)، ’’بديعة البيان’’ (163)، ’’تبصير المنتبه’’ (4/ 1422)، ’’نزهة الألباب’’ (1/ 123)، ’’طبقات الحفاظ’’ (887).</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2026-10-13T02:43:33+03:00</dcterms:created>
  <dcterms:modified xsi:type="dcterms:W3CDTF">2026-10-13T02:43:33+03:00</dcterms:modified>
</cp:coreProperties>
</file>

<file path=docProps/custom.xml><?xml version="1.0" encoding="utf-8"?>
<Properties xmlns="http://schemas.openxmlformats.org/officeDocument/2006/custom-properties" xmlns:vt="http://schemas.openxmlformats.org/officeDocument/2006/docPropsVTypes"/>
</file>