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محمد بن عبد الله، أبو عبد الله، الجرجاني، الواعظ.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محمد بن عبد الله، أبو عبد الله، الجرجاني، الواعظ.
</w:t>
      </w:r>
    </w:p>
    <w:p>
      <w:pPr/>
      <w:r>
        <w:rPr/>
        <w:t xml:space="preserve">محمد بن محمد بن عبد الله، أبو عبد الله، الجرجاني، الواعظ. </w:t>
      </w:r>
    </w:p>
    <w:p/>
    <w:p>
      <w:pPr/>
      <w:r>
        <w:rPr/>
        <w:t xml:space="preserve">كذا في ’’الشعب’’ (2/ 348)، وصوابه: محمد بن محمد بن عبيد الله يأتي - إن شاء الله تعالى -.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الروض الباسم في تراجم شيوخ الحاكم،(دار العاصمة للنشر والتوزيع، الرياض - المملكة العربية السعودية،2011،ط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2026-10-13T03:22:03+03:00</dcterms:created>
  <dcterms:modified xsi:type="dcterms:W3CDTF">2026-10-13T03:22:03+03:00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