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إسحاق بن إبراهيم بن مهران، أبو عمرو بن أبي العباس السراج، الثقفي،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إسحاق بن إبراهيم بن مهران، أبو عمرو بن أبي العباس السراج، الثقفي، النيسابوري.
</w:t>
      </w:r>
    </w:p>
    <w:p>
      <w:pPr/>
      <w:r>
        <w:rPr/>
        <w:t xml:space="preserve">محمد بن محمد بن إسحاق بن إبراهيم بن مهران، أبو عمرو بن أبي العباس السراج، الثقفي، النيسابوري. </w:t>
      </w:r>
    </w:p>
    <w:p/>
    <w:p>
      <w:pPr/>
      <w:r>
        <w:rPr/>
        <w:t xml:space="preserve">حدث عن: أبيه، وغيره.</w:t>
      </w:r>
    </w:p>
    <w:p/>
    <w:p>
      <w:pPr/>
      <w:r>
        <w:rPr/>
        <w:t xml:space="preserve">وعنه: أبو عبد الله الحاكم، وعبد الملك بن أحمد القاضي، وذكر أنه حدثه بجرجان.</w:t>
      </w:r>
    </w:p>
    <w:p/>
    <w:p>
      <w:pPr/>
      <w:r>
        <w:rPr/>
        <w:t xml:space="preserve">ترجمه الحاكم في ’’تاريخه’’، والسهمي في ’’تاريخ جرجان’’، وقال: كان قاضي جرجان في سنة سبع وأربعين وثلاثمائة وما بعده. ووصفه الذهبي في ’’تاريخه’’ بالحاكم وقال: توفي بالشاش في جمادى الآخرة - يعني سنة ثمان وخمسين وثلاثمائة - وحمل إلى هراة ودفن بها.</w:t>
      </w:r>
    </w:p>
    <w:p/>
    <w:p>
      <w:pPr/>
      <w:r>
        <w:rPr/>
        <w:t xml:space="preserve">قلت: [صدوق قاضٍ].</w:t>
      </w:r>
    </w:p>
    <w:p/>
    <w:p>
      <w:pPr/>
      <w:r>
        <w:rPr/>
        <w:t xml:space="preserve">’’مختصر تاريخ نيسابور’’ (53/ أ)، ’’تاريخ جرجان’’ (728)، تاريخ الإسالم (26/ 184).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2026-10-13T04:27:15+03:00</dcterms:created>
  <dcterms:modified xsi:type="dcterms:W3CDTF">2026-10-13T04:27:15+03:00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