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الفضيل، أبو عمرو، الخفاف، النيسابوري القهندزي.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الفضيل، أبو عمرو، الخفاف، النيسابوري القهندزي.
</w:t>
      </w:r>
    </w:p>
    <w:p>
      <w:pPr/>
      <w:r>
        <w:rPr/>
        <w:t xml:space="preserve">محمد بن الفضيل، أبو عمرو، الخفاف، النيسابوري القهندزي. </w:t>
      </w:r>
    </w:p>
    <w:p/>
    <w:p>
      <w:pPr/>
      <w:r>
        <w:rPr/>
        <w:t xml:space="preserve">كذا في ’’الأنساب’’، ويأتي - إن شاء الله تعالى - في: محمد بن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2026-10-13T04:22:38+03:00</dcterms:created>
  <dcterms:modified xsi:type="dcterms:W3CDTF">2026-10-13T04:22:38+03:00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