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القزاز، الرازي، التاجر.
</w:t>
      </w:r>
    </w:p>
    <w:p>
      <w:pPr>
        <w:jc w:val="start"/>
        <w:bidi/>
      </w:pPr>
      <w:r>
        <w:rPr>
          <w:rFonts w:ascii="arial" w:hAnsi="arial" w:eastAsia="arial" w:cs="arial"/>
          <w:sz w:val="28"/>
          <w:szCs w:val="28"/>
          <w:b w:val="1"/>
          <w:bCs w:val="1"/>
          <w:rtl/>
        </w:rPr>
        <w:t xml:space="preserve">محمد بن عيسى، القزاز، الرازي، التاجر.
</w:t>
      </w:r>
    </w:p>
    <w:p>
      <w:pPr/>
      <w:r>
        <w:rPr/>
        <w:t xml:space="preserve">محمد بن عيسى، القزاز، الرازي، التاجر. </w:t>
      </w:r>
    </w:p>
    <w:p/>
    <w:p>
      <w:pPr/>
      <w:r>
        <w:rPr/>
        <w:t xml:space="preserve">تقدم في: محمد بن أحمد بن عيسى بن عبدك، أبي بكر القزاز الرازي.</w:t>
      </w:r>
    </w:p>
    <w:p/>
    <w:p>
      <w:pPr/>
      <w:r>
        <w:rPr/>
        <w:t xml:space="preserve">قال مقيده - عفا الله عنه -: لم يفرق في كتاب ’’رجال الحاكم’’ بين محمد بن عيسى القزاز الرازي، ومحمد بن عيسى العطار أبي بكر، ويقال: أبي معين، والصواب التفرقة بينهما، ويدل على ذلك صنيع الحاكم، فإن لما حدث عن العطار ذكر أنه حدثه بمرو عن عبدان بن محمد، وأحمد بن سيار المروزيين، ولما حدث عن القزاز ذكر أنه حدثه ببغداد عن علي بن الحسين بن الجنيد الرازي البغدادي،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2026-10-13T04:21:19+03:00</dcterms:created>
  <dcterms:modified xsi:type="dcterms:W3CDTF">2026-10-13T04:21:19+03:00</dcterms:modified>
</cp:coreProperties>
</file>

<file path=docProps/custom.xml><?xml version="1.0" encoding="utf-8"?>
<Properties xmlns="http://schemas.openxmlformats.org/officeDocument/2006/custom-properties" xmlns:vt="http://schemas.openxmlformats.org/officeDocument/2006/docPropsVTypes"/>
</file>