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عمر، الخفاف.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عمر، الخفاف.
</w:t>
      </w:r>
    </w:p>
    <w:p>
      <w:pPr/>
      <w:r>
        <w:rPr/>
        <w:t xml:space="preserve">محمد بن عمر، الخفاف. </w:t>
      </w:r>
    </w:p>
    <w:p/>
    <w:p>
      <w:pPr/>
      <w:r>
        <w:rPr/>
        <w:t xml:space="preserve">كذا نسبه الحاكم في ’’المدخل إلى الإكليل’’ وكذا في ’’شعب الإيمان’’، للبيهقي (3/ 113)، إلى جده، وقد تقدم في: محمد بن أحمد بن عمر، ولله الحمد.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2026-10-13T05:19:45+03:00</dcterms:created>
  <dcterms:modified xsi:type="dcterms:W3CDTF">2026-10-13T05:19:45+03:00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