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محمد، أبو بكر، الإسفراييني.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محمد، أبو بكر، الإسفراييني.
</w:t>
      </w:r>
    </w:p>
    <w:p>
      <w:pPr/>
      <w:r>
        <w:rPr/>
        <w:t xml:space="preserve">محمد بن عمر بن محمد، أبو بكر، الإسفراييني. </w:t>
      </w:r>
    </w:p>
    <w:p/>
    <w:p>
      <w:pPr/>
      <w:r>
        <w:rPr/>
        <w:t xml:space="preserve">ذكره الحاكم في شيوخه الذين رزق السماع منهم بنيسابور، ووصفه بالفقيه.</w:t>
      </w:r>
    </w:p>
    <w:p/>
    <w:p>
      <w:pPr/>
      <w:r>
        <w:rPr/>
        <w:t xml:space="preserve">قلت: [صدوق فقيه].</w:t>
      </w:r>
    </w:p>
    <w:p/>
    <w:p>
      <w:pPr/>
      <w:r>
        <w:rPr/>
        <w:t xml:space="preserve">’’مختصر تاريخ نيسابور’’ (52/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2026-10-13T05:27:45+03:00</dcterms:created>
  <dcterms:modified xsi:type="dcterms:W3CDTF">2026-10-13T05:27:45+03:00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