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سالم بن البراء بن سبرة بن سيار، أبو بكر، التميمي، البغدادي، ابن الجعابي.
</w:t>
      </w:r>
    </w:p>
    <w:p>
      <w:pPr>
        <w:jc w:val="start"/>
        <w:bidi/>
      </w:pPr>
      <w:r>
        <w:rPr>
          <w:rFonts w:ascii="arial" w:hAnsi="arial" w:eastAsia="arial" w:cs="arial"/>
          <w:sz w:val="28"/>
          <w:szCs w:val="28"/>
          <w:b w:val="1"/>
          <w:bCs w:val="1"/>
          <w:rtl/>
        </w:rPr>
        <w:t xml:space="preserve">محمد بن عمر بن محمد بن سالم بن البراء بن سبرة بن سيار، أبو بكر، التميمي، البغدادي، ابن الجعابي.
</w:t>
      </w:r>
    </w:p>
    <w:p>
      <w:pPr/>
      <w:r>
        <w:rPr/>
        <w:t xml:space="preserve">محمد بن عمر بن محمد بن سالم بن البراء بن سبرة بن سيار، أبو بكر، التميمي، البغدادي، ابن الجعابي. </w:t>
      </w:r>
    </w:p>
    <w:p/>
    <w:p>
      <w:pPr/>
      <w:r>
        <w:rPr/>
        <w:t xml:space="preserve">مترجم في ’’شيوخ الدارقطني’’.</w:t>
      </w:r>
    </w:p>
    <w:p/>
    <w:p>
      <w:pPr/>
      <w:r>
        <w:rPr/>
        <w:t xml:space="preserve">قلت: [حافظ مشهور، إلا أنه صاحب غرائب ومناكير، وذلك لأنه خلط، وللشره في الرواية، وقد اتهم برقة الدين، وفي سند ذلك، وبعضه ليس بلازم ولا صريح، وهو شيعي، والنفس لا تطمئن إلى الاحتجاج به مع كونه بلغ الغاية في الحفظ والمعرفة، ومع كثرة من أطلق فيه المدح الرفيع!!].</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2026-10-13T05:31:35+03:00</dcterms:created>
  <dcterms:modified xsi:type="dcterms:W3CDTF">2026-10-13T05:31:35+03:00</dcterms:modified>
</cp:coreProperties>
</file>

<file path=docProps/custom.xml><?xml version="1.0" encoding="utf-8"?>
<Properties xmlns="http://schemas.openxmlformats.org/officeDocument/2006/custom-properties" xmlns:vt="http://schemas.openxmlformats.org/officeDocument/2006/docPropsVTypes"/>
</file>