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علي، أبو بكر، الفقيه الشافعي.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علي، أبو بكر، الفقيه الشافعي.
</w:t>
      </w:r>
    </w:p>
    <w:p>
      <w:pPr/>
      <w:r>
        <w:rPr/>
        <w:t xml:space="preserve">محمد بن علي، أبو بكر، الفقيه الشافعي. </w:t>
      </w:r>
    </w:p>
    <w:p/>
    <w:p>
      <w:pPr/>
      <w:r>
        <w:rPr/>
        <w:t xml:space="preserve">كذا في ’’المعرفة’’ برقم (184)، وقد ذكر في هامش ’’المعرفة’’ أنه القفال الكبير، وقد تقدم في: محمد بن علي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2026-10-13T05:27:44+03:00</dcterms:created>
  <dcterms:modified xsi:type="dcterms:W3CDTF">2026-10-13T05:27:44+03:00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