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أبو جعفر، الأديب، النيسابوري، الروزني، البحاث.
</w:t>
      </w:r>
    </w:p>
    <w:p>
      <w:pPr>
        <w:jc w:val="start"/>
        <w:bidi/>
      </w:pPr>
      <w:r>
        <w:rPr>
          <w:rFonts w:ascii="arial" w:hAnsi="arial" w:eastAsia="arial" w:cs="arial"/>
          <w:sz w:val="28"/>
          <w:szCs w:val="28"/>
          <w:b w:val="1"/>
          <w:bCs w:val="1"/>
          <w:rtl/>
        </w:rPr>
        <w:t xml:space="preserve">محمد بن علي بن عبد الله، أبو جعفر، الأديب، النيسابوري، الروزني، البحاث.
</w:t>
      </w:r>
    </w:p>
    <w:p>
      <w:pPr/>
      <w:r>
        <w:rPr/>
        <w:t xml:space="preserve">محمد بن علي بن عبد الله، أبو جعفر، الأديب، النيسابوري، الروزني، البحاث. </w:t>
      </w:r>
    </w:p>
    <w:p/>
    <w:p>
      <w:pPr/>
      <w:r>
        <w:rPr/>
        <w:t xml:space="preserve">حدث عن: أبي الحسن علي بن القاسم النحوي الأديب.</w:t>
      </w:r>
    </w:p>
    <w:p/>
    <w:p>
      <w:pPr/>
      <w:r>
        <w:rPr/>
        <w:t xml:space="preserve">وعنه: أبو عبد الله الحاكم، ووصفه بالأديب.</w:t>
      </w:r>
    </w:p>
    <w:p/>
    <w:p>
      <w:pPr/>
      <w:r>
        <w:rPr/>
        <w:t xml:space="preserve">وقال في ’’تاريخه’’: أبو جعفر الأديب، ولي الحكم في بلاد كثيرة بخراسان، وكان أولاً يؤدب عند أبي إسحاق المزكي أولاده، وهو المعروف بـ البحاث، كان من الفصحاء الشعراء، تفقه على مذهب الشافعي، وسمع الحديث بخراسان بعد ’’الأربعين’’ - يعني: والثلاثمائة - توفي ببخارى سنة سبعين وثلاثمائة. وقال القفطي في ’’إنباه الرواة’’: إليه ينسب البحاثيون من أولاده وأولاد أولاده، وكلهم أهل أدب وفضل ونباهة وشعر. وقال الذهبي في ’’تاريخه’’: أحد الشعراء بخراسان. وقال محقق ’’الشعب’’ الدكتور مختار الندوي: لم أقف على ترجمته.</w:t>
      </w:r>
    </w:p>
    <w:p/>
    <w:p>
      <w:pPr/>
      <w:r>
        <w:rPr/>
        <w:t xml:space="preserve">قال مقيده - عفا الله عنه -: جزم السبكي، وقبله ابن الصلاح بأن صاحب الترجمة ومحمد بن الحسن بن سليمان أبو جعفر الزوزني البحاث واحد فقال في ترجمة محمد بن الحسن: سماه الحاكم في ’’تاريخ نيسابور’’ محمد بن علي بن عبد الله، والصواب ما أوردناه. وقال النووي في تعليقه على ’’طبقات ابن الصلاح’’: وهذا موضع نظر، يحتمل أن يكون هذا الذي ذكره - يعني شيخ الحاكم - هو الأول - يعني محمد بن الحسن بن سليمان - ووقع الوهم في نسبه، ويحتمل أن يكون غيره، والله أعلم اهـ. قلت: فرق بينهما الذهبي في ’’تاريخه’’، فأفرد لكل واحد منهما ترجمته، والله أعلم.</w:t>
      </w:r>
    </w:p>
    <w:p/>
    <w:p>
      <w:pPr/>
      <w:r>
        <w:rPr/>
        <w:t xml:space="preserve">قلت: [صدوق أديب - والرجل مشهور، ولم يجرح، فدل على أنه مرضي عنه.</w:t>
      </w:r>
    </w:p>
    <w:p/>
    <w:p>
      <w:pPr/>
      <w:r>
        <w:rPr/>
        <w:t xml:space="preserve">’’مختصر تاريخ نيسابور’’ (52/ أ)، ’’الشعب’’ (12/ 393)، ’’طبقات ابن الصلاح’’ (1/ 134)، ’’إنباه الرواة’’ (3/ 193)، ’’تاريخ الإسلام’’ (26/ 448)، ’’طبقات السبكي’’ (3/ 143)، والإسنوي (1/ 108)، ’’نزهة الألباب’’ (1/ 106).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2026-10-13T06:13:48+03:00</dcterms:created>
  <dcterms:modified xsi:type="dcterms:W3CDTF">2026-10-13T06:13:48+03:00</dcterms:modified>
</cp:coreProperties>
</file>

<file path=docProps/custom.xml><?xml version="1.0" encoding="utf-8"?>
<Properties xmlns="http://schemas.openxmlformats.org/officeDocument/2006/custom-properties" xmlns:vt="http://schemas.openxmlformats.org/officeDocument/2006/docPropsVTypes"/>
</file>