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ديزيل، أبو منصور، الديزيلي، الجلاب الفارسي.
</w:t>
      </w:r>
    </w:p>
    <w:p>
      <w:pPr>
        <w:jc w:val="start"/>
        <w:bidi/>
      </w:pPr>
      <w:r>
        <w:rPr>
          <w:rFonts w:ascii="arial" w:hAnsi="arial" w:eastAsia="arial" w:cs="arial"/>
          <w:sz w:val="28"/>
          <w:szCs w:val="28"/>
          <w:b w:val="1"/>
          <w:bCs w:val="1"/>
          <w:rtl/>
        </w:rPr>
        <w:t xml:space="preserve">محمد بن علي بن أحمد بن ديزيل، أبو منصور، الديزيلي، الجلاب الفارسي.
</w:t>
      </w:r>
    </w:p>
    <w:p>
      <w:pPr/>
      <w:r>
        <w:rPr/>
        <w:t xml:space="preserve">محمد بن علي بن أحمد بن ديزيل، أبو منصور، الديزيلي، الجلاب الفارسي. </w:t>
      </w:r>
    </w:p>
    <w:p/>
    <w:p>
      <w:pPr/>
      <w:r>
        <w:rPr/>
        <w:t xml:space="preserve">سمع: أبا جعفر بن غالب بن حرب الضبي، ومحمد بن شاذان الجوهري، وموسى بن الحسن الجلاجلي، وأقرانهم.</w:t>
      </w:r>
    </w:p>
    <w:p/>
    <w:p>
      <w:pPr/>
      <w:r>
        <w:rPr/>
        <w:t xml:space="preserve">وعنه: أبو عبد الله الحاكم في ’’مستدركه’’، ونسبه مرة إلى جده أحمد.</w:t>
      </w:r>
    </w:p>
    <w:p/>
    <w:p>
      <w:pPr/>
      <w:r>
        <w:rPr/>
        <w:t xml:space="preserve">وقال في ’’تاريخه’’: من أهل نيسابور، شيخ صدوق حسن الأصول، وكانت له ثروة قديمة فزالت، وكان يخفي شخصه عن الناس تجملاً، وكان أبو نصر ابنه يسمع معنا الحديث قديماً، فلم أزل به حتى حمل ابنه أباه على التحديث، وكثر انتفاع الناس به، سمع ببغداد: أبا جعفر محمد بن غالب بن حرب الضبي، ومحمد بن شاذان الجوهري، وموسى بن الحسن الجلاجلي، وأقرانهم، وذلك أنه كان في صغره مع أبيه ببغداد، وتوفي في شوال سنة خمس وأربعين وثلاثمائة.</w:t>
      </w:r>
    </w:p>
    <w:p/>
    <w:p>
      <w:pPr/>
      <w:r>
        <w:rPr/>
        <w:t xml:space="preserve">قال مقيده - عفا الله عنه -: فرق في كتاب ’’رجال الحاكم’’ بين محمد بن علي أبي منصور الفارسي، وبين محمد بن أحمد أبي منصور الفارسي وبين محمد بن عبيد الله أبي منصور الفارسي، فبيض للأول والثالث وجزم بأن الثاني: محمد بن أحمد هو: محمد بن أحمد بن منصور، أبو منصور، الفقيه القزويني المتوفي سنة ست وستين وثلاثمائة.</w:t>
      </w:r>
    </w:p>
    <w:p/>
    <w:p>
      <w:pPr/>
      <w:r>
        <w:rPr/>
        <w:t xml:space="preserve">والصواب في ذلك كله أنهم واحد، وأن محمد بن أحمد قد نسبه إلى الحاكم إلى جده كعادته، وأنه محمد بن علي بن أحمد المترجم له، وأما بالنسبة لـ محمد بن عبيد الله فقد سبق التنبيه عليه في بابه.</w:t>
      </w:r>
    </w:p>
    <w:p/>
    <w:p>
      <w:pPr/>
      <w:r>
        <w:rPr/>
        <w:t xml:space="preserve">قلت: [صدوق إذا حدث من أصوله فهو ثقة - فمدحهم له بأن حسن الأصول يدل على عنايته وضبطه لأصوله.</w:t>
      </w:r>
    </w:p>
    <w:p/>
    <w:p>
      <w:pPr/>
      <w:r>
        <w:rPr/>
        <w:t xml:space="preserve">’’المستدرك’’ (2/ 265/ 555)، (3/ 518)، ’’الأنساب’’ (2/ 589)، مختصره ’’اللباب’’ (1/ 524)، ’’رجال الحاكم’’ (2/ 168، 252، 265).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2026-10-13T07:09:06+03:00</dcterms:created>
  <dcterms:modified xsi:type="dcterms:W3CDTF">2026-10-13T07:09:06+03:00</dcterms:modified>
</cp:coreProperties>
</file>

<file path=docProps/custom.xml><?xml version="1.0" encoding="utf-8"?>
<Properties xmlns="http://schemas.openxmlformats.org/officeDocument/2006/custom-properties" xmlns:vt="http://schemas.openxmlformats.org/officeDocument/2006/docPropsVTypes"/>
</file>