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أبو منصور، الفارسي.
</w:t>
      </w:r>
    </w:p>
    <w:p>
      <w:pPr>
        <w:jc w:val="start"/>
        <w:bidi/>
      </w:pPr>
      <w:r>
        <w:rPr>
          <w:rFonts w:ascii="arial" w:hAnsi="arial" w:eastAsia="arial" w:cs="arial"/>
          <w:sz w:val="28"/>
          <w:szCs w:val="28"/>
          <w:b w:val="1"/>
          <w:bCs w:val="1"/>
          <w:rtl/>
        </w:rPr>
        <w:t xml:space="preserve">محمد بن عبيد الله، أبو منصور، الفارسي.
</w:t>
      </w:r>
    </w:p>
    <w:p>
      <w:pPr/>
      <w:r>
        <w:rPr/>
        <w:t xml:space="preserve">محمد بن عبيد الله، أبو منصور، الفارسي. </w:t>
      </w:r>
    </w:p>
    <w:p/>
    <w:p>
      <w:pPr/>
      <w:r>
        <w:rPr/>
        <w:t xml:space="preserve">يأتي - إن شاء الله تعالى - في: محمد بن علي بن أحمد بن ديزيل.</w:t>
      </w:r>
    </w:p>
    <w:p/>
    <w:p>
      <w:pPr/>
      <w:r>
        <w:rPr/>
        <w:t xml:space="preserve">وأما قوله: ’’عبيد الله’’ فمحتمل أنه قد وقع فيه تصحيف، ومحتمل أن الحاكم قد نسبه إلى جد أعلى كما نسب محمد بن عبيد الله بن محمد بن ’’الفتح’’ إلى جده الأعلى الشخير. وكذا نسب غيره، والله أعلم.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2026-10-13T07:06:27+03:00</dcterms:created>
  <dcterms:modified xsi:type="dcterms:W3CDTF">2026-10-13T07:06:27+03:00</dcterms:modified>
</cp:coreProperties>
</file>

<file path=docProps/custom.xml><?xml version="1.0" encoding="utf-8"?>
<Properties xmlns="http://schemas.openxmlformats.org/officeDocument/2006/custom-properties" xmlns:vt="http://schemas.openxmlformats.org/officeDocument/2006/docPropsVTypes"/>
</file>