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الجراح، أبو بكر، الجراحي، المروزي.
</w:t>
      </w:r>
    </w:p>
    <w:p>
      <w:pPr>
        <w:jc w:val="start"/>
        <w:bidi/>
      </w:pPr>
      <w:r>
        <w:rPr>
          <w:rFonts w:ascii="arial" w:hAnsi="arial" w:eastAsia="arial" w:cs="arial"/>
          <w:sz w:val="28"/>
          <w:szCs w:val="28"/>
          <w:b w:val="1"/>
          <w:bCs w:val="1"/>
          <w:rtl/>
        </w:rPr>
        <w:t xml:space="preserve">محمد بن عبد الله بن الجراح، أبو بكر، الجراحي، المروزي.
</w:t>
      </w:r>
    </w:p>
    <w:p>
      <w:pPr/>
      <w:r>
        <w:rPr/>
        <w:t xml:space="preserve">محمد بن عبد الله بن الجراح، أبو بكر، الجراحي، المروزي. </w:t>
      </w:r>
    </w:p>
    <w:p/>
    <w:p>
      <w:pPr/>
      <w:r>
        <w:rPr/>
        <w:t xml:space="preserve">سمع: يحيى بن ساسويه الذهلي، وعبد الله بن يحيى القاضي السرخسي، وعبد الله بن محمد بن عيسى المروزي الحافظ عبدان، وعيسى بن عبد الله القرشي، ومحمد بن المنذر بن سعيد، وعمرو بن عمران، وأبا صالح الحسين بن الفرج، وأحمد بن تميم المروزيين، وأبا العباس الحسن بن سفيان النسوي، وأبا رجاء محمد بن حمدويه السجزي، وأبا عبد الله بن محمود السعدي، وإسحاق بن إبراهيم التاجر.</w:t>
      </w:r>
    </w:p>
    <w:p/>
    <w:p>
      <w:pPr/>
      <w:r>
        <w:rPr/>
        <w:t xml:space="preserve">وعنه: أبو عبد الله الحاكم في ’’مستدركه’’ - ووصفه بالعدل الحافظ، وذكر أنه حدثه بمرو - وأبو عبد الله بن مندة.</w:t>
      </w:r>
    </w:p>
    <w:p/>
    <w:p>
      <w:pPr/>
      <w:r>
        <w:rPr/>
        <w:t xml:space="preserve">قال مقيده - عفا الله عنه -: أخرج الحاكم في ’’المستدرك’’ حديثاً من طريقه ثم قال: رواة هذا الحديث كلهم ثقات أثبات، ونقل عنه في كتابه ’’المعرفة’’ جملة من وفيات بعض شيوخه، وترجمه ابن مندة في ’’فتح الباب’’ فقال: أبو بكر محمد بن عبد الله الجراح المروزي، ثنا عن عمرو بن عمران المروزي. وذكر محققا ’’الشعب’’ وكذا محقق ’’ثلاث شعب’’: أنهم لم يجدوه له ترجمته. واختلف رأي شيخنا - رحمه الله تعالي - فيه فمرة ذكر أنه المترجم في ’’فتح الباب’’ ومرة ذكر أن صوابه: محمد بن عبد الجبار؛ كما في حاشية المستدرك، وبه جزم محقق ’’الأسماء والصفات’’ الشيخ الحاشدي - حفظه الله تعالي - ومرة ذكر أن الظاهر أنه المترجم في تاريخ بغداد بـ محمد بن عبد الله بن عبد الصمد أبي بكر الجراحي. قلت: فإن يك المترجم في ’’تاريخ بغداد’’ هو المترجم في ’’فتح الباب’’ فلا إشكال، وإن يك غيره فالصواب أن صاحب الترجمة هو المترجم في ’’فتح الباب’’ والله الموفق.</w:t>
      </w:r>
    </w:p>
    <w:p/>
    <w:p>
      <w:pPr/>
      <w:r>
        <w:rPr/>
        <w:t xml:space="preserve">قلت: [ثقة حافظ].</w:t>
      </w:r>
    </w:p>
    <w:p/>
    <w:p>
      <w:pPr/>
      <w:r>
        <w:rPr/>
        <w:t xml:space="preserve">’’المستدرك’’ (1/ 157، 221/ 457)، ’’المعرفة’’ (523)، ’’فتح الباب’’ (806)، ’’الشعب’’ (2/ 124، 454)، (5/ 510)، (6/ 358)، ’’ثلاث شعب’’ (1/ 271) ’’الخلافيات’’ (2/ 306)، ’’فضائل الأوقات’’ (217)، ’’الأسماء والصفات’’ (2/ 488)، ’’رجال الحاكم’’ (2/ 224/ 238).</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2026-10-13T08:52:33+03:00</dcterms:created>
  <dcterms:modified xsi:type="dcterms:W3CDTF">2026-10-13T08:52:33+03:00</dcterms:modified>
</cp:coreProperties>
</file>

<file path=docProps/custom.xml><?xml version="1.0" encoding="utf-8"?>
<Properties xmlns="http://schemas.openxmlformats.org/officeDocument/2006/custom-properties" xmlns:vt="http://schemas.openxmlformats.org/officeDocument/2006/docPropsVTypes"/>
</file>