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أحمد، الحفيد.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أحمد، الحفيد.
</w:t>
      </w:r>
    </w:p>
    <w:p>
      <w:pPr/>
      <w:r>
        <w:rPr/>
        <w:t xml:space="preserve">محمد بن عبد الله بن أحمد، الحفيد. </w:t>
      </w:r>
    </w:p>
    <w:p/>
    <w:p>
      <w:pPr/>
      <w:r>
        <w:rPr/>
        <w:t xml:space="preserve">كذا في ’’المستدرك’’ (1/ 246) و’’إتحاف المهرة’’ (5/ 390)، وفي ’’السنن الكبرى’’ للبيهقي (1/ 100): أبو بكر محمد بن عبد الله بن أحمد الحفيد. وفي ’’تاريخ دمشق’’ (26/ 245) ترجمته شيخه العباس بن حمزة النيسابوري: روى عنه:... وحفيده أبو بكر محمد بن عبد الله بن أحمد. وفي ’’حاشية المستدرك’’ و’’رجال الحاكم’’ صوابه: محمد بن عبد الله بن محمد.</w:t>
      </w:r>
    </w:p>
    <w:p/>
    <w:p>
      <w:pPr/>
      <w:r>
        <w:rPr/>
        <w:t xml:space="preserve">قلت: يأتي - إن شاء الله تعالى - في: محمد بن عبد الله بن محمد بن يوسف.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2026-10-13T08:50:42+03:00</dcterms:created>
  <dcterms:modified xsi:type="dcterms:W3CDTF">2026-10-13T08:50:42+03:00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