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صالح بن علي بن يحيى بن عبد الله بن محمد بن عبيد الله بن عيسى بن موسى بن محمد بن علي بن عبد الله بن العباس بن عبد المطلب
</w:t>
      </w:r>
    </w:p>
    <w:p>
      <w:pPr>
        <w:jc w:val="start"/>
        <w:bidi/>
      </w:pPr>
      <w:r>
        <w:rPr>
          <w:rFonts w:ascii="arial" w:hAnsi="arial" w:eastAsia="arial" w:cs="arial"/>
          <w:sz w:val="28"/>
          <w:szCs w:val="28"/>
          <w:b w:val="1"/>
          <w:bCs w:val="1"/>
          <w:rtl/>
        </w:rPr>
        <w:t xml:space="preserve">محمد بن صالح بن علي بن يحيى بن عبد الله بن محمد بن عبيد الله بن عيسى بن موسى بن محمد بن علي بن عبد الله بن العباس بن عبد المطلب
</w:t>
      </w:r>
    </w:p>
    <w:p>
      <w:pPr/>
      <w:r>
        <w:rPr/>
        <w:t xml:space="preserve">محمد بن صالح بن علي بن يحيى بن عبد الله بن محمد بن عبيد الله بن عيسى بن موسى بن محمد بن علي بن عبد الله بن العباس بن عبد المطلب، أبو الحارث بن أم شيبان، الهاشمي، العيسوي، الكوفي ثم البغدادي، أخو أبي الحسن، وكان الأصغر، الفقيه المالكي. </w:t>
      </w:r>
    </w:p>
    <w:p/>
    <w:p>
      <w:pPr/>
      <w:r>
        <w:rPr/>
        <w:t xml:space="preserve">سمع: عبد الله بن زيدان البجلي، ومحمد بن الحسين الخثعمي، ويحيى بن محمد بن صاعد، وإبراهيم بن محمد بن عرفة النحوي، والقاضي أبا عبد الله المحاملي، وأبا العباس بن عقدة، وغيرهم.</w:t>
      </w:r>
    </w:p>
    <w:p/>
    <w:p>
      <w:pPr/>
      <w:r>
        <w:rPr/>
        <w:t xml:space="preserve">وعنه: أبو عبد الله الحاكم، وغيره.</w:t>
      </w:r>
    </w:p>
    <w:p/>
    <w:p>
      <w:pPr/>
      <w:r>
        <w:rPr/>
        <w:t xml:space="preserve">وقال في ’’تاريخه’’: ورد محمد بن صالح بن علي بن يحيى، أبو الحارث بن أم شيبان القاضي الهاشمي، نيسابور، وأقام بها مدة يتكلم على مذهب مالك، ثم دخل بخارى فقلد قضاء نسا سنة خمس وخمسين وثلاثمائة، وتوفي ببغداد سنة ستين وثلاثمائة. وقال الخطيب: درس فقه مالك، وخرج عن بغداد إلى خراسان، فحدث بها.</w:t>
      </w:r>
    </w:p>
    <w:p/>
    <w:p>
      <w:pPr/>
      <w:r>
        <w:rPr/>
        <w:t xml:space="preserve">ذكر أبو العلاء محمد بن علي القاضي أنه توفي بخراسان، وقال غيره: ببخارى، ليلة الجمعة في ربيع الأول سنة ستين وثلاثمائة.</w:t>
      </w:r>
    </w:p>
    <w:p/>
    <w:p>
      <w:pPr/>
      <w:r>
        <w:rPr/>
        <w:t xml:space="preserve">قلت: [ثقة فقيه].</w:t>
      </w:r>
    </w:p>
    <w:p/>
    <w:p>
      <w:pPr/>
      <w:r>
        <w:rPr/>
        <w:t xml:space="preserve">’’مختصر تاريخ نيسابور’’ (51/ أ)، ’’تاريخ بغداد’’ (5/ 362)، ’’المنتظم’’ (14/ 209)، ’’تاريخ الإسلام’’ (26/ 219).</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2026-10-13T09:38:46+03:00</dcterms:created>
  <dcterms:modified xsi:type="dcterms:W3CDTF">2026-10-13T09:38:46+03:00</dcterms:modified>
</cp:coreProperties>
</file>

<file path=docProps/custom.xml><?xml version="1.0" encoding="utf-8"?>
<Properties xmlns="http://schemas.openxmlformats.org/officeDocument/2006/custom-properties" xmlns:vt="http://schemas.openxmlformats.org/officeDocument/2006/docPropsVTypes"/>
</file>