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رجاء بن سعيد بن بشير، أبو العباس، الأمين، الفتى،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رجاء بن سعيد بن بشير، أبو العباس، الأمين، الفتى، النيسابوري.
</w:t>
      </w:r>
    </w:p>
    <w:p>
      <w:pPr/>
      <w:r>
        <w:rPr/>
        <w:t xml:space="preserve">محمد بن رجاء بن سعيد بن بشير، أبو العباس، الأمين، الفتى، النيسابوري. </w:t>
      </w:r>
    </w:p>
    <w:p/>
    <w:p>
      <w:pPr/>
      <w:r>
        <w:rPr/>
        <w:t xml:space="preserve">سمع: السري بن خزيمة الأبيوردي، وغيره.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توفي سنة أربعين وثلاثمائة.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(51/ أ)، ’’الأنساب’’ (1/ 220).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2026-10-13T10:37:00+03:00</dcterms:created>
  <dcterms:modified xsi:type="dcterms:W3CDTF">2026-10-13T10:37:00+03:00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