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الخليل بن إبراهيم، أبو عبد الله، الأصبهاني.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الخليل بن إبراهيم، أبو عبد الله، الأصبهاني.
</w:t>
      </w:r>
    </w:p>
    <w:p>
      <w:pPr/>
      <w:r>
        <w:rPr/>
        <w:t xml:space="preserve">محمد بن الخليل بن إبراهيم، أبو عبد الله، الأصبهاني. </w:t>
      </w:r>
    </w:p>
    <w:p/>
    <w:p>
      <w:pPr/>
      <w:r>
        <w:rPr/>
        <w:t xml:space="preserve">حدث عن: موسى بن إسحاق القاضي الخطبي بالري، وأحمد بن مهران، ويعقوب بن يوسف القزويني.</w:t>
      </w:r>
    </w:p>
    <w:p/>
    <w:p>
      <w:pPr/>
      <w:r>
        <w:rPr/>
        <w:t xml:space="preserve">وعنه: أبو عبد الله الحاكم في ’’مستدركه’’ وصحح حديثه.</w:t>
      </w:r>
    </w:p>
    <w:p/>
    <w:p>
      <w:pPr/>
      <w:r>
        <w:rPr/>
        <w:t xml:space="preserve">وترجمه في ’’تاريخه’’، ووصفه بالمعدل، وبيض له في ’’رجال الحاكم’’ وقال محقق ’’الأسماء والصفات’’: لم أقف على ترجمته. وكذا قال محقق ’’الشعب’’ الندوي، و’’القضاء والقدر’’ صلاح الدين شكر.</w:t>
      </w:r>
    </w:p>
    <w:p/>
    <w:p>
      <w:pPr/>
      <w:r>
        <w:rPr/>
        <w:t xml:space="preserve">قلت: [صدوق].</w:t>
      </w:r>
    </w:p>
    <w:p/>
    <w:p>
      <w:pPr/>
      <w:r>
        <w:rPr/>
        <w:t xml:space="preserve">’’المستدرك’’ (1/ 316/ 766)، ’’مختصر تاريخ نيسابور’’ (51/ أ)، ’’الأسماء والصفات’’ (1/ 241)، ’’الشعب’’ (13/ 176)، ’’الدعوات الكبير’’ (1/ 158)، ’’القضاء والقدر’’ (1/ 272)، ’’رجال الحاكم’’ (2/ 205).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2026-10-13T10:29:41+03:00</dcterms:created>
  <dcterms:modified xsi:type="dcterms:W3CDTF">2026-10-13T10:29:41+03:00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