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حمدون بن مالك، أبو عبد الله، الوراق، التككي،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حمدون بن مالك، أبو عبد الله، الوراق، التككي، البغدادي.
</w:t>
      </w:r>
    </w:p>
    <w:p>
      <w:pPr/>
      <w:r>
        <w:rPr/>
        <w:t xml:space="preserve">محمد بن حمدون بن مالك، أبو عبد الله، الوراق، التككي، البغدادي. </w:t>
      </w:r>
    </w:p>
    <w:p/>
    <w:p>
      <w:pPr/>
      <w:r>
        <w:rPr/>
        <w:t xml:space="preserve">سمع ببغداد: محمد بن محمد بن سليمان الباغندي، وبالكوفة: علي بن سعيد العسكري، وعلي بن العباس المقانعي الكوفي، ومحمد بن الحسين الخعثمي، ومحمد بن جعفر بن رميس القصري، وعلي بن محمد القباني، وغيرهم.</w:t>
      </w:r>
    </w:p>
    <w:p/>
    <w:p>
      <w:pPr/>
      <w:r>
        <w:rPr/>
        <w:t xml:space="preserve">وعنه: أبو عبد الله الحاكم في ’’مستدركه’’.</w:t>
      </w:r>
    </w:p>
    <w:p/>
    <w:p>
      <w:pPr/>
      <w:r>
        <w:rPr/>
        <w:t xml:space="preserve">وقال في ’’تاريخه’’: نزيل نيسابور، كان من المشهورين بطلب الحديث والسماع ببغداد، وبالثروة واليسار، ثم إنه احتاج في هذه الديار فكان يورق في آخر عمره إلى أن توفي بنيسابور سنة خمسين وثلاثمائة.</w:t>
      </w:r>
    </w:p>
    <w:p/>
    <w:p>
      <w:pPr/>
      <w:r>
        <w:rPr/>
        <w:t xml:space="preserve">قلت: [ثقة].</w:t>
      </w:r>
    </w:p>
    <w:p/>
    <w:p>
      <w:pPr/>
      <w:r>
        <w:rPr/>
        <w:t xml:space="preserve">’’المستدرك’’ (2/ 695/ 4207)، ’’مختصر تاريخ نيسابور’’ (51/ أ)، ’’تاريخ بغداد’’ (2/ 233)، ’’الأنساب’’ (1/ 495)، مختصره ’’اللباب’’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2026-10-13T10:34:40+03:00</dcterms:created>
  <dcterms:modified xsi:type="dcterms:W3CDTF">2026-10-13T10:34:40+03:00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