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محمد بن موسى بن مهران، أبو الفضل، الحاكم، الحدادي، المروزي، القاضي، الفقيه الحنفي.
</w:t>
      </w:r>
    </w:p>
    <w:p>
      <w:pPr>
        <w:jc w:val="start"/>
        <w:bidi/>
      </w:pPr>
      <w:r>
        <w:rPr>
          <w:rFonts w:ascii="arial" w:hAnsi="arial" w:eastAsia="arial" w:cs="arial"/>
          <w:sz w:val="28"/>
          <w:szCs w:val="28"/>
          <w:b w:val="1"/>
          <w:bCs w:val="1"/>
          <w:rtl/>
        </w:rPr>
        <w:t xml:space="preserve">محمد بن الحسين بن محمد بن موسى بن مهران، أبو الفضل، الحاكم، الحدادي، المروزي، القاضي، الفقيه الحنفي.
</w:t>
      </w:r>
    </w:p>
    <w:p>
      <w:pPr/>
      <w:r>
        <w:rPr/>
        <w:t xml:space="preserve">محمد بن الحسين بن محمد بن موسى بن مهران، أبو الفضل، الحاكم، الحدادي، المروزي، القاضي، الفقيه الحنفي. </w:t>
      </w:r>
    </w:p>
    <w:p/>
    <w:p>
      <w:pPr/>
      <w:r>
        <w:rPr/>
        <w:t xml:space="preserve">سمع: محمد بن علي بن إبراهيم الحافظ، وإسحاق بن إبراهيم التاجر، وعبد الله بن محمود السعدي، وحماد بن أحمد السلمي، وغيرهم.</w:t>
      </w:r>
    </w:p>
    <w:p/>
    <w:p>
      <w:pPr/>
      <w:r>
        <w:rPr/>
        <w:t xml:space="preserve">وعنه: أبو عبد الله الحاكم، وأبو عمرو محمد بن عبد العزيز القنطري، وأبو عبد الرحمن محمد بن أحمد بن محمد بن جعفر الشاذياخي، ومحمد بن إبراهيم الوبري الخوارزمي، وأبو بكر محمد بن الهيثم الترابي، وأبو يعلى الخليلي بالإجازة، وأحمد بن إبراهيم بن محمود النيسابوري، والحسين بن عثمان الشيرازي، وذمر بن الحسين، وغيرهم.</w:t>
      </w:r>
    </w:p>
    <w:p/>
    <w:p>
      <w:pPr/>
      <w:r>
        <w:rPr/>
        <w:t xml:space="preserve">قال الحاكم في ’’تاريخه’’: أبو الفضل القاضي المعروف بالحدادي، شيخ أهل مرو في الحفظ والحديث والتصوف والقضاء في عصره. وقد ولى قضاء نيسابور قبل الخمسين وثلاثمائة. وقال السمعاني: كان يتولي الحكومة عن القضاة بمرو وبخارى، وكان فقيهاً فاضلاً من أصحاب الرأي. وقال الذهبي: شيخ مرو، القاضي الكبير، وحديثه من أعلى شيء وقع لمحيي السنة البغوي.</w:t>
      </w:r>
    </w:p>
    <w:p/>
    <w:p>
      <w:pPr/>
      <w:r>
        <w:rPr/>
        <w:t xml:space="preserve">مات في المحرم أو صفر من سنة ثمان وثمانين وثلاثمائة، وهو ابن مائة وسبع سنين، قاله الحاكم، وقال الذهبي في ’’تاريخه’’: عمر حتى</w:t>
      </w:r>
    </w:p>
    <w:p/>
    <w:p>
      <w:pPr/>
      <w:r>
        <w:rPr/>
        <w:t xml:space="preserve">تجاوز المائة. وقال في ’’التذكرة’’: مسند مرو، مات عن مائة سنة. وفي ’’النبلاء’’: كان من أبناء التسعين - رحمه الله -. ولم يذكره في ’’جزئه أهل المائة’’.</w:t>
      </w:r>
    </w:p>
    <w:p/>
    <w:p>
      <w:pPr/>
      <w:r>
        <w:rPr/>
        <w:t xml:space="preserve">قلت: [ثقة حافظ، فقيه عابد، أحد المعمرين].</w:t>
      </w:r>
    </w:p>
    <w:p/>
    <w:p>
      <w:pPr/>
      <w:r>
        <w:rPr/>
        <w:t xml:space="preserve">’’مختصر تاريخ نيسابور’’ (50/ ب)، ’’الإكمال’’ (2/ 269)، ’’الأنساب’’ (2/ 220)، ’’مختصره’’ (1/ 346)، ’’تذكرة الحفاظ’’ (3/ 1020)، ’’النبلاء’’ (16/ 470)، ’’تاريخ الإسلام’’ (27/ 174)، ’’الجواهر المضية’’ (3/ 144)، ’’توضيح المشتبه’’ (2/ 238)، ’’تبصير المنتبه’’ (1/ 308).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2026-10-13T11:36:07+03:00</dcterms:created>
  <dcterms:modified xsi:type="dcterms:W3CDTF">2026-10-13T11:36:07+03:00</dcterms:modified>
</cp:coreProperties>
</file>

<file path=docProps/custom.xml><?xml version="1.0" encoding="utf-8"?>
<Properties xmlns="http://schemas.openxmlformats.org/officeDocument/2006/custom-properties" xmlns:vt="http://schemas.openxmlformats.org/officeDocument/2006/docPropsVTypes"/>
</file>