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الحسن، الشامي.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الحسن، الشامي.
</w:t>
      </w:r>
    </w:p>
    <w:p>
      <w:pPr/>
      <w:r>
        <w:rPr/>
        <w:t xml:space="preserve">محمد بن الحسن، الشامي. </w:t>
      </w:r>
    </w:p>
    <w:p/>
    <w:p>
      <w:pPr/>
      <w:r>
        <w:rPr/>
        <w:t xml:space="preserve">كذا في ’’المستدرك’’ (4/ 186/ 7017): أخبرني أبو النضر الفقيه ومحمد بن الحسن الشامي قالا ثنا الحسن بن حماد الكوفي. وفي أصل ’’إتحاف المهرة’’ (6/ 361/ 6643): أخبرني أبو النضر الفقيه، ثنا محمد بن الحسن الشامي ثنا الحسن بن حماد الكوفي.</w:t>
      </w:r>
    </w:p>
    <w:p/>
    <w:p>
      <w:pPr/>
      <w:r>
        <w:rPr/>
        <w:t xml:space="preserve">قال مقيده - عفا الله عنه -: وبهذا يتضح أن محمد بن الحسن الشامي ليس بشيخ للحاكم، وإنما شيخ شيخه،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2026-10-13T11:24:04+03:00</dcterms:created>
  <dcterms:modified xsi:type="dcterms:W3CDTF">2026-10-13T11:24:04+03:00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