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الحسن، أبو الحسن، الكازري.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الحسن، أبو الحسن، الكازري.
</w:t>
      </w:r>
    </w:p>
    <w:p>
      <w:pPr/>
      <w:r>
        <w:rPr/>
        <w:t xml:space="preserve">محمد بن الحسن، أبو الحسن، الكازري. </w:t>
      </w:r>
    </w:p>
    <w:p/>
    <w:p>
      <w:pPr/>
      <w:r>
        <w:rPr/>
        <w:t xml:space="preserve">يأتي - إن شاء الله تعالى - في: محمد بن محمد بن الحسن بن الحارث، وقد توهمه ابن ناصر الدين الدمشقي - رحمه الله - في ’’توضيحه’’ (7/ 265) غيره، والصواب أنه واحد،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2026-10-13T11:21:34+03:00</dcterms:created>
  <dcterms:modified xsi:type="dcterms:W3CDTF">2026-10-13T11:21:34+03:00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