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جعفر، أبو العباس، الهروي.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جعفر، أبو العباس، الهروي.
</w:t>
      </w:r>
    </w:p>
    <w:p>
      <w:pPr/>
      <w:r>
        <w:rPr/>
        <w:t xml:space="preserve">محمد بن جعفر، أبو العباس، الهروي. </w:t>
      </w:r>
    </w:p>
    <w:p/>
    <w:p>
      <w:pPr/>
      <w:r>
        <w:rPr/>
        <w:t xml:space="preserve">كذا في النسخة المطبوعة من ’’المستدرك’’ (1/ 300/ 714) وصوابه محمد بن حفص كما في ’’إتحاف المهرة’’ (2/ 74/ 1249) يأتي - إن شاء الله تعالى - في: محمد بن حفص بن عمر. وقد جزم بعضهم بأنه ابن محمود، ووهم في ذلك؛ كما سيأتي بيانه،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2026-10-13T12:14:48+03:00</dcterms:created>
  <dcterms:modified xsi:type="dcterms:W3CDTF">2026-10-13T12:14:48+03:00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