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جعفر، أبو بكر، البرذعي.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جعفر، أبو بكر، البرذعي.
</w:t>
      </w:r>
    </w:p>
    <w:p>
      <w:pPr/>
      <w:r>
        <w:rPr/>
        <w:t xml:space="preserve">محمد بن جعفر، أبو بكر، البرذعي. </w:t>
      </w:r>
    </w:p>
    <w:p/>
    <w:p>
      <w:pPr/>
      <w:r>
        <w:rPr/>
        <w:t xml:space="preserve">حدث عن: أبي منصور محمد بن إبراهيم بن حمدويه الإشيخني.</w:t>
      </w:r>
    </w:p>
    <w:p/>
    <w:p>
      <w:pPr/>
      <w:r>
        <w:rPr/>
        <w:t xml:space="preserve">وعنه: أبو عبد الله الحاكم، كما في ’’السنن الكبرى’’، وذكر أنه سمع منه ببخارى. كذا في ’’السنن الكبرى’’ (2/ 82).</w:t>
      </w:r>
    </w:p>
    <w:p/>
    <w:p>
      <w:pPr/>
      <w:r>
        <w:rPr/>
        <w:t xml:space="preserve">قلت: [مجهول الحال].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2026-10-13T12:13:37+03:00</dcterms:created>
  <dcterms:modified xsi:type="dcterms:W3CDTF">2026-10-13T12:13:37+03:00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