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إسماعيل،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إسماعيل، المقرئ.
</w:t>
      </w:r>
    </w:p>
    <w:p>
      <w:pPr/>
      <w:r>
        <w:rPr/>
        <w:t xml:space="preserve">محمد بن إسماعيل، المقرئ. </w:t>
      </w:r>
    </w:p>
    <w:p/>
    <w:p>
      <w:pPr/>
      <w:r>
        <w:rPr/>
        <w:t xml:space="preserve">كذا في ’’المستدرك’’ (2/ 733/ 4310) و’’المعرفة’’ (544)، نسبه الحاكم إلى جده الأعلى، ولأجل ذا بيض له في كتاب ’’رجال الحاكم’’ (2/ 182) وفي ’’تهذيبه’’ (1086): لم نظفر بترجمته. ويأتي - إن شاء الله تعالى - في: محمد بن الحسن بن أحمد بن إسماعيل، أبو الحسن، المقرئ.</w:t>
      </w:r>
    </w:p>
    <w:p/>
    <w:p>
      <w:pPr/>
      <w:r>
        <w:rPr/>
        <w:t xml:space="preserve">وفي ’’تاريخ بغداد’’ (2/ 47): محمد بن إسماعيل المقرئ البغدادي، وهو أعلى طبقة من صاحب الترجمة، ومحمد بن إسماعيل المقرئ التغلبي النيسابوري المترجم في ’’الأنساب’’ أنزل طبقة من شيخ الحاكم هذا،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2026-10-13T12:11:17+03:00</dcterms:created>
  <dcterms:modified xsi:type="dcterms:W3CDTF">2026-10-13T12:11:17+03:00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