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أيوب بن يزيد بن نوح، أبو العباس، الصبغي، النيسابوري، أخو الإمام أبي بكر الصبغي.
</w:t>
      </w:r>
    </w:p>
    <w:p>
      <w:pPr>
        <w:jc w:val="start"/>
        <w:bidi/>
      </w:pPr>
      <w:r>
        <w:rPr>
          <w:rFonts w:ascii="arial" w:hAnsi="arial" w:eastAsia="arial" w:cs="arial"/>
          <w:sz w:val="28"/>
          <w:szCs w:val="28"/>
          <w:b w:val="1"/>
          <w:bCs w:val="1"/>
          <w:rtl/>
        </w:rPr>
        <w:t xml:space="preserve">محمد بن إسحاق بن أيوب بن يزيد بن نوح، أبو العباس، الصبغي، النيسابوري، أخو الإمام أبي بكر الصبغي.
</w:t>
      </w:r>
    </w:p>
    <w:p>
      <w:pPr/>
      <w:r>
        <w:rPr/>
        <w:t xml:space="preserve">محمد بن إسحاق بن أيوب بن يزيد بن نوح، أبو العباس، الصبغي، النيسابوري، أخو الإمام أبي بكر الصبغي. </w:t>
      </w:r>
    </w:p>
    <w:p/>
    <w:p>
      <w:pPr/>
      <w:r>
        <w:rPr/>
        <w:t xml:space="preserve">سمع: الحسن بن علي بن زياد السري، وسهل بن عمار العتكي، ويعقوب بن إسحاق بن الحجاج، وإبراهيم بن عبد الله السعدي، ويحيى بن محمد الذهلي، وهو آخر من حدث عنه، ومحمد بن أيوب بن الضريس، وأبي زكريا يحيى بن محمد بن يحيى حمكان، وغيرهم.</w:t>
      </w:r>
    </w:p>
    <w:p/>
    <w:p>
      <w:pPr/>
      <w:r>
        <w:rPr/>
        <w:t xml:space="preserve">وعنه: أبو عبد الله الحاكم في ’’المعرفة’’، وأبو حسان محمد بن أحمد المزكي، وأبو نصر عمر بن عبد العزيز بن قتادة النعماني النيسابوري، وأبو القاسم عبد الرحمن بن محمد بن عبد الله السراج، وأبو جعفر كامل بن أحمد المستملي، وغيرهم.</w:t>
      </w:r>
    </w:p>
    <w:p/>
    <w:p>
      <w:pPr/>
      <w:r>
        <w:rPr/>
        <w:t xml:space="preserve">قال الحاكم في ’’تاريخه’’: أبو العباس الصبغي أخو الشيخ الإمام أبي بكر أحمد بن إسحاق، وهو أكبر سناً منه، سمع أبا إسحاق إبراهيم، بن عبد الله، ويحيى بن محمد بن يحيى، وبالري: محمد بن أيوب، لزم الفتوة إلى آخر عمره، وكان الشيخ أخوه ينهانا عن القراءة عليه لما كان يتعاطاه ظاهراً، لا لحرج سماعه، فإن أكثر أصوله عن الرازيين، كان قد سمعها قبل الشيخ بسنين، ثم سمعها الشيخ في كتابه، وأما سماعه من إبراهيم بن عبد الله فإنا لم نجده، وتوفي في ذي القعدة سنة أربع وخمسين وثلاثمائة، وهو ابن مائة سنة وأشهر. وقال الذهبي في ’’جزء أهل المائة’’: كان غير رشيد السيرة.</w:t>
      </w:r>
    </w:p>
    <w:p/>
    <w:p>
      <w:pPr/>
      <w:r>
        <w:rPr/>
        <w:t xml:space="preserve">قال مقيده - عفا الله عنه -: قال ابن نقطة في ’’التكملة’’: جعل الأمير في كتابه كنية أحمد أبا العباس، وهو غلط، والصواب ما قاله الحاكم - أي من جعل كنية أحمد أبا بكر، وكنية محمد أبا العباس - وقال ابن ناصر الدين الدمشقي في ’’توضحيه’’: كناه - يعني محمد صاحب الترجمة - أبا بكر في كتابه ’’المحتسب’’ والأشهر أبو العباس اهـ. قلت: قد بين العلامة المعلمي - رحمه الله تعالى - وهمهما فيما ذكراه يراجع في ’’حاشية الإكمال’’.</w:t>
      </w:r>
    </w:p>
    <w:p/>
    <w:p>
      <w:pPr/>
      <w:r>
        <w:rPr/>
        <w:t xml:space="preserve">تنبيه: تصحفت نسبة الصبغي في ’’المعرفة’’ إلى الضبعي - بالضاد بدل الصاد - فبيض له محققه في ثبت الشيوخ.</w:t>
      </w:r>
    </w:p>
    <w:p/>
    <w:p>
      <w:pPr/>
      <w:r>
        <w:rPr/>
        <w:t xml:space="preserve">قلت: [تركوه مع صحة سماعه لكونه غير حميد السيرة].</w:t>
      </w:r>
    </w:p>
    <w:p/>
    <w:p>
      <w:pPr/>
      <w:r>
        <w:rPr/>
        <w:t xml:space="preserve">’’المعرفة’’ (542)، ’’مختصر تاريخ نيسابور’’ (50/ أ)، ’’الشعب’’ (6/ 404)، ’’الإكمال’’ (5/ 233)، ’’الأنساب’’ (3/ 531)، ’’تكملة الإكمال’’ (3/ 641)، ’’النبلاء’’ (15/ 489)، ’’تاريخ الإسلام’’ (26/ 111)، ’’الميزان’’ (3/ 478)، ’’جزء أهل المائة’’ (73)، ’’أسماء من عاش ثمانين سنة... ’’ (84)، ’’توضيح المشتبه’’ (5/ 405)، ’’تبصير المنتبه’’ (3/ 860)، ’’اللسان’’ (6/ 553).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2026-10-13T12:20:47+03:00</dcterms:created>
  <dcterms:modified xsi:type="dcterms:W3CDTF">2026-10-13T12:20:47+03:00</dcterms:modified>
</cp:coreProperties>
</file>

<file path=docProps/custom.xml><?xml version="1.0" encoding="utf-8"?>
<Properties xmlns="http://schemas.openxmlformats.org/officeDocument/2006/custom-properties" xmlns:vt="http://schemas.openxmlformats.org/officeDocument/2006/docPropsVTypes"/>
</file>