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أبو عمرو، السكري.
</w:t>
      </w:r>
    </w:p>
    <w:p>
      <w:pPr>
        <w:jc w:val="start"/>
        <w:bidi/>
      </w:pPr>
      <w:r>
        <w:rPr>
          <w:rFonts w:ascii="arial" w:hAnsi="arial" w:eastAsia="arial" w:cs="arial"/>
          <w:sz w:val="28"/>
          <w:szCs w:val="28"/>
          <w:b w:val="1"/>
          <w:bCs w:val="1"/>
          <w:rtl/>
        </w:rPr>
        <w:t xml:space="preserve">محمد بن أحمد، أبو عمرو، السكري.
</w:t>
      </w:r>
    </w:p>
    <w:p>
      <w:pPr/>
      <w:r>
        <w:rPr/>
        <w:t xml:space="preserve">محمد بن أحمد، أبو عمرو، السكري. </w:t>
      </w:r>
    </w:p>
    <w:p/>
    <w:p>
      <w:pPr/>
      <w:r>
        <w:rPr/>
        <w:t xml:space="preserve">كذا في ’’المستدرك’’ (2/ 113/ 2514)، و’’السنن الكبرى’’ للبيهقي (6/ 330): أخبرني أبو عمرو محمد بن أحمد السكري، وفي ’’إتحاف المهرة’’ (11/ 218/ 1391): أخبرني أبو عمرو محمد بن أحمد، ثنا محمد بن إسحاق بن خزيمة.</w:t>
      </w:r>
    </w:p>
    <w:p/>
    <w:p>
      <w:pPr/>
      <w:r>
        <w:rPr/>
        <w:t xml:space="preserve">قلت: روى الحاكم عن عدة ممن يكنى بأبي عمرو، ويسمى بمحمد بن أحمد من هذه الطبقة، أشهرهم أبو عمرو الصغير، وأبو عمرو الحيري، ومن المحتمل أنه أحدهما، كما أنه يحتمل - أيضاً - أن يكون محمد بن أحمد بن عبد الله أبو أحمد السكري، وحينئذٍ تكون له كنيتان، لا أن الكنية بأبي عمرو تصحفت من أبي أحمد إلى أبي عمرو لوجودها في أكثر من مصدر، والله أعلم.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2026-10-13T13:13:42+03:00</dcterms:created>
  <dcterms:modified xsi:type="dcterms:W3CDTF">2026-10-13T13:13:42+03:00</dcterms:modified>
</cp:coreProperties>
</file>

<file path=docProps/custom.xml><?xml version="1.0" encoding="utf-8"?>
<Properties xmlns="http://schemas.openxmlformats.org/officeDocument/2006/custom-properties" xmlns:vt="http://schemas.openxmlformats.org/officeDocument/2006/docPropsVTypes"/>
</file>