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جعفر،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أبو جعفر، البغدادي.
</w:t>
      </w:r>
    </w:p>
    <w:p>
      <w:pPr/>
      <w:r>
        <w:rPr/>
        <w:t xml:space="preserve">محمد بن أحمد، أبو جعفر، البغدادي. </w:t>
      </w:r>
    </w:p>
    <w:p/>
    <w:p>
      <w:pPr/>
      <w:r>
        <w:rPr/>
        <w:t xml:space="preserve">كذا جاء في بعض المواضع من النسخة المطبوعة من ’’المستدرك’’ (2/ 275/ 2961)، (3/ 79/ 4498)، (3/ 514/ 5837)، وصوابه: محمد بن محمد، أبو جعفر البغدادي؛ كما في ’’إتحاف المهرة’’ (14/ 173/ 17585)، والمستدرك نفسه (1/ 713/ 1976)، (4/ 305/ 7462)، يأتي - إن شاء الله تعالى - في: محمد بن محمد بن عبد الله بن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2026-10-13T13:12:48+03:00</dcterms:created>
  <dcterms:modified xsi:type="dcterms:W3CDTF">2026-10-13T13:12:48+03:00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