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يعقوب، أبو عبد الله، المزكي الأديب، النيسابوري، يعرف بابن أخت أبي محمد الجلاب.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يعقوب، أبو عبد الله، المزكي الأديب، النيسابوري، يعرف بابن أخت أبي محمد الجلاب.
</w:t>
      </w:r>
    </w:p>
    <w:p>
      <w:pPr/>
      <w:r>
        <w:rPr/>
        <w:t xml:space="preserve">محمد بن أحمد بن يعقوب، أبو عبد الله، المزكي الأديب، النيسابوري، يعرف بابن أخت أبي محمد الجلاب. </w:t>
      </w:r>
    </w:p>
    <w:p/>
    <w:p>
      <w:pPr/>
      <w:r>
        <w:rPr/>
        <w:t xml:space="preserve">سمع: ابن بلال، ومحمد بن الحسين القطان، وابن قوهيار، وعمرو بن عبد الله البصري، وعبد الله بن يعقوب الكرماني، وأبا طاهر المحمداباذي، وعدة.</w:t>
      </w:r>
    </w:p>
    <w:p/>
    <w:p>
      <w:pPr/>
      <w:r>
        <w:rPr/>
        <w:t xml:space="preserve">وعنه: أبو عبد الله الحاكم - ووصفه بالمزكي والأديب - وأحمد بن عبد الرحيم الإسماعيلي.</w:t>
      </w:r>
    </w:p>
    <w:p/>
    <w:p>
      <w:pPr/>
      <w:r>
        <w:rPr/>
        <w:t xml:space="preserve">قال الذهبي في تاريخه: كان محدثاً أديباً، صلى بالناس التراويح ثلاثاً وستين سنة بالختمة، وكان يعرف بابن أخت أبي محمد الجلاب.</w:t>
      </w:r>
    </w:p>
    <w:p/>
    <w:p>
      <w:pPr/>
      <w:r>
        <w:rPr/>
        <w:t xml:space="preserve">قلت: [صدوق نحوي أديب].</w:t>
      </w:r>
    </w:p>
    <w:p/>
    <w:p>
      <w:pPr/>
      <w:r>
        <w:rPr/>
        <w:t xml:space="preserve">’’مختصر تاريخ نيسابور’’ (49/ ب)، ’’النبلاء’’ (17/ 52).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2026-10-13T14:25:41+03:00</dcterms:created>
  <dcterms:modified xsi:type="dcterms:W3CDTF">2026-10-13T14:25:41+03:00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