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أحمد بن محمد بن شاذان بن الخليل، أبو عمرو، الخفاف، النيسابوري، القهندزي.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أحمد بن محمد بن شاذان بن الخليل، أبو عمرو، الخفاف، النيسابوري، القهندزي.
</w:t>
      </w:r>
    </w:p>
    <w:p>
      <w:pPr/>
      <w:r>
        <w:rPr/>
        <w:t xml:space="preserve">محمد بن أحمد بن محمد بن شاذان بن الخليل، أبو عمرو، الخفاف، النيسابوري، القهندزي. </w:t>
      </w:r>
    </w:p>
    <w:p/>
    <w:p>
      <w:pPr/>
      <w:r>
        <w:rPr/>
        <w:t xml:space="preserve">سمع: أبا العباس محمد بن إسحاق السراج، وزنجويه بن محمد، وجماعة.</w:t>
      </w:r>
    </w:p>
    <w:p/>
    <w:p>
      <w:pPr/>
      <w:r>
        <w:rPr/>
        <w:t xml:space="preserve">وعنه: أبو عبد الله الحاكم، ووصفه بالزاهد.</w:t>
      </w:r>
    </w:p>
    <w:p/>
    <w:p>
      <w:pPr/>
      <w:r>
        <w:rPr/>
        <w:t xml:space="preserve">وترجمه في ’’تاريخه’’، وذكر أنه توفي في رمضان سنة ستٍ وسبعين وثلاثمائة.</w:t>
      </w:r>
    </w:p>
    <w:p/>
    <w:p>
      <w:pPr/>
      <w:r>
        <w:rPr/>
        <w:t xml:space="preserve">قلت: [صدوق عابد].</w:t>
      </w:r>
    </w:p>
    <w:p/>
    <w:p>
      <w:pPr/>
      <w:r>
        <w:rPr/>
        <w:t xml:space="preserve">’’مختصر تاريخ نيسابور’’ (48/ أ، ب)، ’’التقييد’’ برقم (26). ’’تاريخ الإسلام’’ (26/ 597).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2026-10-13T14:25:18+03:00</dcterms:created>
  <dcterms:modified xsi:type="dcterms:W3CDTF">2026-10-13T14:25:18+03:00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