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عبدوس بن أحمد بن حفص بن مسلم بن يزيد بن علي، أبو بكر بن أبي علي، الأديب النحوي، الحرشي، العبدوسي، المزكي، النيسابوري، الفقيه.
</w:t>
      </w:r>
    </w:p>
    <w:p>
      <w:pPr>
        <w:jc w:val="start"/>
        <w:bidi/>
      </w:pPr>
      <w:r>
        <w:rPr>
          <w:rFonts w:ascii="arial" w:hAnsi="arial" w:eastAsia="arial" w:cs="arial"/>
          <w:sz w:val="28"/>
          <w:szCs w:val="28"/>
          <w:b w:val="1"/>
          <w:bCs w:val="1"/>
          <w:rtl/>
        </w:rPr>
        <w:t xml:space="preserve">محمد بن أحمد بن عبدوس بن أحمد بن حفص بن مسلم بن يزيد بن علي، أبو بكر بن أبي علي، الأديب النحوي، الحرشي، العبدوسي، المزكي، النيسابوري، الفقيه.
</w:t>
      </w:r>
    </w:p>
    <w:p>
      <w:pPr/>
      <w:r>
        <w:rPr/>
        <w:t xml:space="preserve">محمد بن أحمد بن عبدوس بن أحمد بن حفص بن مسلم بن يزيد بن علي، أبو بكر بن أبي علي، الأديب النحوي، الحرشي، العبدوسي، المزكي، النيسابوري، الفقيه. </w:t>
      </w:r>
    </w:p>
    <w:p/>
    <w:p>
      <w:pPr/>
      <w:r>
        <w:rPr/>
        <w:t xml:space="preserve">سمع: مكي بن عبدان، وأبا عمرو الحيري، وأبا حامد عبد الله بن محمد بن الشرقي، وعمه إبراهيم بن عبدوس، وأبا أحمد حمزة بن العباس البزاز، وغيرهم.</w:t>
      </w:r>
    </w:p>
    <w:p/>
    <w:p>
      <w:pPr/>
      <w:r>
        <w:rPr/>
        <w:t xml:space="preserve">وعنه: أبو عبد الله الحاكم، وجعفر بن محمد الحسيني، وأبو يعلى الخليلي، وإسماعيل بن محمد بن إسماعيل، وأحمد بن محمد بن سليمان النيسابوري، وأبو القاسم القشيري، وأبو يعلى إسحاق بن عبد الرحمن بن أحمد الصابوني، وأبو حفص عمر بن سعيد البحيري، وذكر أنه حدثه سنة خمس وتسعين وثلاثمائة، وغيرهم.</w:t>
      </w:r>
    </w:p>
    <w:p/>
    <w:p>
      <w:pPr/>
      <w:r>
        <w:rPr/>
        <w:t xml:space="preserve">قال الحاكم في ’’تاريخه’’: أبو بكر بن أبي علي بن عبدوس الأديب الفقيه النحوي، ما رأيت في شهودنا أجمع منه، وعقدت له مجلس الإملاء سنة ثمان وثمانين - يعني وثلاثمائة -. وقال الذهبي: الإمام النحوي الفقيه.</w:t>
      </w:r>
    </w:p>
    <w:p/>
    <w:p>
      <w:pPr/>
      <w:r>
        <w:rPr/>
        <w:t xml:space="preserve">توفي يوم السبت العاشر من شعبان، ودفن يوم الأحد الحادي عشر منه، سنة ست وتسعين وثلاثمائة.</w:t>
      </w:r>
    </w:p>
    <w:p/>
    <w:p>
      <w:pPr/>
      <w:r>
        <w:rPr/>
        <w:t xml:space="preserve">قلت: [ثقة نحوي فقيه].</w:t>
      </w:r>
    </w:p>
    <w:p/>
    <w:p>
      <w:pPr/>
      <w:r>
        <w:rPr/>
        <w:t xml:space="preserve">’’مختصر تاريخ نيسابور’’ (49/ أ)، ’’الإرشاد’’ (1/ 313)، ’’ذم الكلام وأهله’’ (1/ 131)، (3/ 35)، ’’تاريخ بيهق’’ (339)، ’’جزء الرواة عن مسلم’’ للمقدسي (84)، ’’إنباه الرواة’’ (3/ 56)، ’’النبلاء’’ (17/ 57)، ’’تاريخ الإسلام’’ (27/ 337).</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2026-10-13T15:22:16+03:00</dcterms:created>
  <dcterms:modified xsi:type="dcterms:W3CDTF">2026-10-13T15:22:16+03:00</dcterms:modified>
</cp:coreProperties>
</file>

<file path=docProps/custom.xml><?xml version="1.0" encoding="utf-8"?>
<Properties xmlns="http://schemas.openxmlformats.org/officeDocument/2006/custom-properties" xmlns:vt="http://schemas.openxmlformats.org/officeDocument/2006/docPropsVTypes"/>
</file>