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الله، أبو أحمد، السكري، المسكي، النيسابوري، ابن بنت جعفر بن أحمد بن نصر الحافظ.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عبد الله، أبو أحمد، السكري، المسكي، النيسابوري، ابن بنت جعفر بن أحمد بن نصر الحافظ.
</w:t>
      </w:r>
    </w:p>
    <w:p>
      <w:pPr/>
      <w:r>
        <w:rPr/>
        <w:t xml:space="preserve">محمد بن أحمد بن عبد الله، أبو أحمد، السكري، المسكي، النيسابوري، ابن بنت جعفر بن أحمد بن نصر الحافظ. </w:t>
      </w:r>
    </w:p>
    <w:p/>
    <w:p>
      <w:pPr/>
      <w:r>
        <w:rPr/>
        <w:t xml:space="preserve">سمع: جده لأمه جعفر بن أحمد الحافظ، وعبد الله بن محمد بن شيرويه.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وترجمه في ’’تاريخه’’، وكذا الذهبي، وذكرا أنه توفي في رجب من سنة خمس وسبعين وثلاثمائة.</w:t>
      </w:r>
    </w:p>
    <w:p/>
    <w:p>
      <w:pPr/>
      <w:r>
        <w:rPr/>
        <w:t xml:space="preserve">قلت: [مجهول الحال - وتعيين وقت الوفاة دليل على معرفة العين.</w:t>
      </w:r>
    </w:p>
    <w:p/>
    <w:p>
      <w:pPr/>
      <w:r>
        <w:rPr/>
        <w:t xml:space="preserve">’’مختصر تاريخ نيسابور’’ (48/ ب)، ’’الأنساب’’ (5/ 179)، ’’تاريخ الإسلام’’ (26/ 579).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بنت جعفر بن أحمد بن نصر
</w:t>
      </w:r>
    </w:p>
    <w:p>
      <w:pPr/>
      <w:r>
        <w:rPr/>
        <w:t xml:space="preserve">ابن بنت جعفر بن أحمد بن نصر </w:t>
      </w:r>
    </w:p>
    <w:p/>
    <w:p>
      <w:pPr/>
      <w:r>
        <w:rPr/>
        <w:t xml:space="preserve">ابن بنت جعفر بن أحمد بن نصر = محمد بن أحمد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بنت جعفر بن أحمد بن نصر
</w:t>
      </w:r>
    </w:p>
    <w:p>
      <w:pPr/>
      <w:r>
        <w:rPr/>
        <w:t xml:space="preserve">ابن بنت جعفر بن أحمد بن نصر </w:t>
      </w:r>
    </w:p>
    <w:p/>
    <w:p>
      <w:pPr/>
      <w:r>
        <w:rPr/>
        <w:t xml:space="preserve">ابن بنت جعفر بن أحمد بن نصر = محمد بن أحمد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2026-10-13T15:20:30+03:00</dcterms:created>
  <dcterms:modified xsi:type="dcterms:W3CDTF">2026-10-13T15:20:30+03:00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