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الحسن، أبو أحمد، الحسنوي، الفامي - وفي بعض المصادر: القاري -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الحسن، أبو أحمد، الحسنوي، الفامي - وفي بعض المصادر: القاري - النيسابوري.
</w:t>
      </w:r>
    </w:p>
    <w:p>
      <w:pPr/>
      <w:r>
        <w:rPr/>
        <w:t xml:space="preserve">محمد بن أحمد بن الحسن، أبو أحمد، الحسنوي، الفامي - وفي بعض المصادر: القاري - النيسابوري. </w:t>
      </w:r>
    </w:p>
    <w:p/>
    <w:p>
      <w:pPr/>
      <w:r>
        <w:rPr/>
        <w:t xml:space="preserve">سمع: أبا بكر محمد بن إسحاق بن خزيمة، وأبا العباس محمد بن إسحاق السراج.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الحاكم في ’’تاريخه’’ والذهبي في ’’تاريخ الإسلام’’ وذكر أنه توفي في جمادى الأولى سنة خمس وسبعين وثلاثمائة.</w:t>
      </w:r>
    </w:p>
    <w:p/>
    <w:p>
      <w:pPr/>
      <w:r>
        <w:rPr/>
        <w:t xml:space="preserve">قلت: [مجهول الحال - وتعيين سنة الوفاة ترفع جهالة العين.</w:t>
      </w:r>
    </w:p>
    <w:p/>
    <w:p>
      <w:pPr/>
      <w:r>
        <w:rPr/>
        <w:t xml:space="preserve">’’مختصر تاريخ نيسابور’’ (48/ ب)، ’’تاريخ الإسلام’’ (26/ 580).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2026-10-13T16:13:01+03:00</dcterms:created>
  <dcterms:modified xsi:type="dcterms:W3CDTF">2026-10-13T16:13:01+03:00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