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بن أحمد بن محمد بن أحمد بن عبد الرحمن، أبو جعفر، العزائمي، المستملي، النيسابوري.
</w:t>
      </w:r>
    </w:p>
    <w:p>
      <w:pPr>
        <w:jc w:val="start"/>
        <w:bidi/>
      </w:pPr>
      <w:r>
        <w:rPr>
          <w:rFonts w:ascii="arial" w:hAnsi="arial" w:eastAsia="arial" w:cs="arial"/>
          <w:sz w:val="28"/>
          <w:szCs w:val="28"/>
          <w:b w:val="1"/>
          <w:bCs w:val="1"/>
          <w:rtl/>
        </w:rPr>
        <w:t xml:space="preserve">كامل بن أحمد بن محمد بن أحمد بن عبد الرحمن، أبو جعفر، العزائمي، المستملي، النيسابوري.
</w:t>
      </w:r>
    </w:p>
    <w:p>
      <w:pPr/>
      <w:r>
        <w:rPr/>
        <w:t xml:space="preserve">كامل بن أحمد بن محمد بن أحمد بن عبد الرحمن، أبو جعفر، العزائمي، المستملي، النيسابوري. </w:t>
      </w:r>
    </w:p>
    <w:p/>
    <w:p>
      <w:pPr/>
      <w:r>
        <w:rPr/>
        <w:t xml:space="preserve">حدث عن: محمد بن جعفر بن محمد بن مطر، وأبي سعيد إسماعيل بن أحمد الخلالي، وأبي علي حامد بن محمد بن عبد الله بن معاذ الهروي الرفاء، ومحمد بن يحيي الناقد، وأبي نصر أحمد بن محمد بن حامد بن يحيى البلخي البغدادي، وأبي العباس محمد بن أحمد الضبغي، وأبي علي محمد بن جعفر الكرابيسي، وأبي الحسن محمد بن صبيح الجوهري، وأبي الحسن محمد بن الحسن بن الحسين بن منصور، وأبي العباس الحجاجي، وأخيه أبي الحسين، وأبي منصور مدبر بن محمد الهروي، وأبي عبد الله العصمي، وأبي بكر القفال الشاشي، وأبي الحسين الزينبي، وأبي الحسين يوسف بن إبراهيم الأشناني الكوفي، وأبي علي الحسن بن أحمد بن الليث الشيرازي، وأبي العباس بن موسى الهاشمي، وأبي الفرج الورثاني، وأبي بكر الأبهري المالكي، وأبي الفضل صالح بن أحمد الحافظ، وغيرهم.</w:t>
      </w:r>
    </w:p>
    <w:p/>
    <w:p>
      <w:pPr/>
      <w:r>
        <w:rPr/>
        <w:t xml:space="preserve">وعنه: أبو عبد الله الحاكم، ووصفه بالمفيد، وأبو بكر محمد بن يحيى بن إبراهيم المزكي، وأبو نصر السجزي، وأبو بكر البيهقي، وغيرهم.</w:t>
      </w:r>
    </w:p>
    <w:p/>
    <w:p>
      <w:pPr/>
      <w:r>
        <w:rPr/>
        <w:t xml:space="preserve">قال الحاكم في ’’تاريخه’’: من أوثق أصحابنا عند الأخذ والأداء، وآدبهم في قراءة الحديث، وأقومهم لألفاظه، سمع بخراسان، والعراق، والحجاز، وصنف وحدث. وقال عبد الغافر بن إسماعيل الفارسي في ’’ذيله على تاريخ نيسابور’’: مشهور حافظ، عارف بالنحو، حسن الخط، بارع في الرواية، حسن القراءة استملى على المشايخ مدة، وكان كثير الشيوخ كثير السماع، جمع كثيراً من الأبواب والمشايخ، وحدث سنين، سمع من مشايخ العراق والكورة والحجاز وخراسان، وكان ثقة صحيح الرواية، واتفق أن أصحاب الحديث هجروه واتهموه بأنه أخفى جملة من سماع المشايخ مغايظة لهم، والله أعلم بذلك، فتحول إلى الطائفة من أصحاب أبي عبد الله، ومات مهجوراً من الأصحاب فيما بينهم، سمع منه أبو بكر محمد بن يحيى بن إبراهيم لفظاً في ذي القعدة سنة خمس وأربعمائة. قال الذهبي: وفي هذه السنة قدم نيسابور وحدث بها.</w:t>
      </w:r>
    </w:p>
    <w:p/>
    <w:p>
      <w:pPr/>
      <w:r>
        <w:rPr/>
        <w:t xml:space="preserve">قلت: [ثقة حافظ مفيد].</w:t>
      </w:r>
    </w:p>
    <w:p/>
    <w:p>
      <w:pPr/>
      <w:r>
        <w:rPr/>
        <w:t xml:space="preserve">’’مختصر تاريخ نيسابور’’ (47/ ب)، ’’الشعب’’ (3/ 237)، (6/ 460)، (7/ 450)، (10/ 566)، (11/ 13)، ’’المنتخب من السياق’’ (1452)، ’’تاريخ الإسلام’’ (28/ 228)، ’’بغية الوعاة’’ (2/ 265).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2026-10-13T18:00:58+03:00</dcterms:created>
  <dcterms:modified xsi:type="dcterms:W3CDTF">2026-10-13T18:00:58+03:00</dcterms:modified>
</cp:coreProperties>
</file>

<file path=docProps/custom.xml><?xml version="1.0" encoding="utf-8"?>
<Properties xmlns="http://schemas.openxmlformats.org/officeDocument/2006/custom-properties" xmlns:vt="http://schemas.openxmlformats.org/officeDocument/2006/docPropsVTypes"/>
</file>