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قتادة بن محمد بن أحمد بن عمر بن قتادة،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قتادة بن محمد بن أحمد بن عمر بن قتادة، النيسابوري.
</w:t>
      </w:r>
    </w:p>
    <w:p>
      <w:pPr/>
      <w:r>
        <w:rPr/>
        <w:t xml:space="preserve">قتادة بن محمد بن أحمد بن عمر بن قتادة، النيسابوري. </w:t>
      </w:r>
    </w:p>
    <w:p/>
    <w:p>
      <w:pPr/>
      <w:r>
        <w:rPr/>
        <w:t xml:space="preserve">سمع: أبا حامد بن بلال، وعبد الله بن الشرقي.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ترجمه الذهبي في ’’تاريخه’’، وذكر أنه توفي سنة خمس وثمانين وثلاثمائة.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(47/ ب)، ’’تاريخ الإسلام’’ (27/ 107).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2026-10-13T17:58:32+03:00</dcterms:created>
  <dcterms:modified xsi:type="dcterms:W3CDTF">2026-10-13T17:58:32+03:00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