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حامد بن بشر بن عيسى بن أشعث، أبو الحسين، القاضي، البغدادي، الرخجي، ابن بنت القنبيطي.
</w:t>
      </w:r>
    </w:p>
    <w:p>
      <w:pPr>
        <w:jc w:val="start"/>
        <w:bidi/>
      </w:pPr>
      <w:r>
        <w:rPr>
          <w:rFonts w:ascii="arial" w:hAnsi="arial" w:eastAsia="arial" w:cs="arial"/>
          <w:sz w:val="28"/>
          <w:szCs w:val="28"/>
          <w:b w:val="1"/>
          <w:bCs w:val="1"/>
          <w:rtl/>
        </w:rPr>
        <w:t xml:space="preserve">عيسى بن حامد بن بشر بن عيسى بن أشعث، أبو الحسين، القاضي، البغدادي، الرخجي، ابن بنت القنبيطي.
</w:t>
      </w:r>
    </w:p>
    <w:p>
      <w:pPr/>
      <w:r>
        <w:rPr/>
        <w:t xml:space="preserve">عيسى بن حامد بن بشر بن عيسى بن أشعث، أبو الحسين، القاضي، البغدادي، الرخجي، ابن بنت القنبيطي. </w:t>
      </w:r>
    </w:p>
    <w:p/>
    <w:p>
      <w:pPr/>
      <w:r>
        <w:rPr/>
        <w:t xml:space="preserve">سمع: جده محمد بن الحسين القنبيطي، ومحمد بن جعفر القتات، وإبراهيم شريك الأسدي، وجعفر الفريابي، والحسين بن أبي الأحوص الثقفي، وأحمد بن الحسين بن نصر الحذاء، وقاسم بن زكريا المطرز، وأحمد بن يعقوب بن أخي العرق، وأحمد بن خالد البراثي، ومحمد بن علي بن العباس النسائي، وإبراهيم بن أسباط بن السكن، وعبد الله بن محمد بن ناجية، ومحمد بن الحسن بن بدينا، والهيثم بن خلف الدوري، ومحمد بن جرير الطبري، وعمر بن أيوب السقطي.</w:t>
      </w:r>
    </w:p>
    <w:p/>
    <w:p>
      <w:pPr/>
      <w:r>
        <w:rPr/>
        <w:t xml:space="preserve">وعنه: أبو عبد الله الحاكم، وذكر أنه حدثه ببغداد، وعلي بن عبد العزيز الطاهري، وأبو طالب عمر بن إبراهيم بن سعيد الفقيه، ومحمد بن محمد بن عثمان السواق، والقاضي أبو العلاء محمد بن علي الواسطي، وأبو علي بن دوما النعالي، وغيرهم.</w:t>
      </w:r>
    </w:p>
    <w:p/>
    <w:p>
      <w:pPr/>
      <w:r>
        <w:rPr/>
        <w:t xml:space="preserve">قال الحاكم كما في ’’سؤالات السجزي’’: ثقة مأمون. وقال أبو الحسن محمد بن العباس بن الفرات، ومحمد بن أبي الفوارس: كان ثقة جميل الأمر. وقال الخطيب: رخجي الأصل، كان أحد أصحاب ابن جرير. وقال السمعاني: قال أبو بكر الخطيب: كان ثقة جميل الأمر، وكذا ابن الجوزي. وقال الذهبي: الفقيه أحد تلامذة ابن جرير، وثقه ابن أبي الفوارس، مات عن سن عالية.</w:t>
      </w:r>
    </w:p>
    <w:p/>
    <w:p>
      <w:pPr/>
      <w:r>
        <w:rPr/>
        <w:t xml:space="preserve">مات في ذي الحجة سنة ثمان وستين وثلاثمائة.</w:t>
      </w:r>
    </w:p>
    <w:p/>
    <w:p>
      <w:pPr/>
      <w:r>
        <w:rPr/>
        <w:t xml:space="preserve">قلت: [ثقة حميد السيرة].</w:t>
      </w:r>
    </w:p>
    <w:p/>
    <w:p>
      <w:pPr/>
      <w:r>
        <w:rPr/>
        <w:t xml:space="preserve">’’المعرفة’’ (522)، ’’سؤالات السجزي’’ (244)، ’’الشعب’’ (8/ 461)، ’’تاريخ بغداد’’ (11/ 178)، ’’الأنساب’’ (3/ 57)، ’’المنتظم’’ (14/ 266)، ’’تاريخ الإسلام’’ (26/ 401)، ’’العبر’’ (2/ 129)، ’’الشذرات’’ (4/ 369).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القنبيطي
</w:t>
      </w:r>
    </w:p>
    <w:p>
      <w:pPr/>
      <w:r>
        <w:rPr/>
        <w:t xml:space="preserve">ابن بنت القنبيطي </w:t>
      </w:r>
    </w:p>
    <w:p/>
    <w:p>
      <w:pPr/>
      <w:r>
        <w:rPr/>
        <w:t xml:space="preserve">ابن بنت القنبيطي = عيسى بن حامد بن بشر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القنبيطي
</w:t>
      </w:r>
    </w:p>
    <w:p>
      <w:pPr/>
      <w:r>
        <w:rPr/>
        <w:t xml:space="preserve">ابن بنت القنبيطي </w:t>
      </w:r>
    </w:p>
    <w:p/>
    <w:p>
      <w:pPr/>
      <w:r>
        <w:rPr/>
        <w:t xml:space="preserve">ابن بنت القنبيطي = عيسى بن حامد بن بشر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2026-10-13T18:01:47+03:00</dcterms:created>
  <dcterms:modified xsi:type="dcterms:W3CDTF">2026-10-13T18:01:47+03:00</dcterms:modified>
</cp:coreProperties>
</file>

<file path=docProps/custom.xml><?xml version="1.0" encoding="utf-8"?>
<Properties xmlns="http://schemas.openxmlformats.org/officeDocument/2006/custom-properties" xmlns:vt="http://schemas.openxmlformats.org/officeDocument/2006/docPropsVTypes"/>
</file>