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محمد بن الحسن.
</w:t>
      </w:r>
    </w:p>
    <w:p>
      <w:pPr/>
      <w:r>
        <w:rPr/>
        <w:t xml:space="preserve">عمرو بن محمد بن الحسن. </w:t>
      </w:r>
    </w:p>
    <w:p/>
    <w:p>
      <w:pPr/>
      <w:r>
        <w:rPr/>
        <w:t xml:space="preserve">كذا في النسخة المطبوعة من ’’المستدرك’’ (2/ 537)، وصوابه: عمرو بن محمد بن منصور - وهو الختن - كما في ’’إتحاف المهرة’’ (2/ 95)، وهو الآتي بعد.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2026-10-13T18:57:41+03:00</dcterms:created>
  <dcterms:modified xsi:type="dcterms:W3CDTF">2026-10-13T18:57:41+03:00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