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بن محمد بن الحسن المنصوري.
</w:t>
      </w:r>
    </w:p>
    <w:p>
      <w:pPr>
        <w:jc w:val="start"/>
        <w:bidi/>
      </w:pPr>
      <w:r>
        <w:rPr>
          <w:rFonts w:ascii="arial" w:hAnsi="arial" w:eastAsia="arial" w:cs="arial"/>
          <w:sz w:val="28"/>
          <w:szCs w:val="28"/>
          <w:b w:val="1"/>
          <w:bCs w:val="1"/>
          <w:rtl/>
        </w:rPr>
        <w:t xml:space="preserve">عمر بن عبد العزيز بن محمد بن الحسن المنصوري.
</w:t>
      </w:r>
    </w:p>
    <w:p>
      <w:pPr/>
      <w:r>
        <w:rPr/>
        <w:t xml:space="preserve">عمر بن عبد العزيز بن محمد بن الحسن المنصوري. </w:t>
      </w:r>
    </w:p>
    <w:p/>
    <w:p>
      <w:pPr/>
      <w:r>
        <w:rPr/>
        <w:t xml:space="preserve">كذا في ’’مختصر تاريخ نيسابور’’ ولعله المترجم في ’’تاريخ بغداد’’ قال الخطيب: عمر بن عبد العزيز بن أحمد بن محمد بن العباس أبو حفص الهمذاني، سكن بغداد، وحدث عن أحمد بن حمدان المعدل الشيرازي، وإبراهيم بن محمد بن الحسن السيرافي، ومحمد بن يعقوب النوبندجاني، حدثنا عنه: أبو طالب محمد بن علي البيضاوي، وأبو محمد الجوهري، وذكر أنه حدثه ببغداد في جامع المنصور، مات في آخر رجب سنة تسع وسبعين وثلاثمائة.</w:t>
      </w:r>
    </w:p>
    <w:p/>
    <w:p>
      <w:pPr/>
      <w:r>
        <w:rPr/>
        <w:t xml:space="preserve">قلت: إن يكن المترجم في ’’تاريخ بغداد’’ فهو [مستور]، وإلا فهو [مجهول الحال - فإنه من ذكر الحاكم أنه رزق السماع منهم.</w:t>
      </w:r>
    </w:p>
    <w:p/>
    <w:p>
      <w:pPr/>
      <w:r>
        <w:rPr/>
        <w:t xml:space="preserve">’’مختصر تاريخ نيسابور’’ (45/ ب)، ’’تاريخ بغداد’’ (11/ 263).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2026-10-13T19:00:51+03:00</dcterms:created>
  <dcterms:modified xsi:type="dcterms:W3CDTF">2026-10-13T19:00:51+03:00</dcterms:modified>
</cp:coreProperties>
</file>

<file path=docProps/custom.xml><?xml version="1.0" encoding="utf-8"?>
<Properties xmlns="http://schemas.openxmlformats.org/officeDocument/2006/custom-properties" xmlns:vt="http://schemas.openxmlformats.org/officeDocument/2006/docPropsVTypes"/>
</file>