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 بن الخليل، أبو الحسن، النيسابوري، الرمجاري.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 بن الخليل، أبو الحسن، النيسابوري، الرمجاري.
</w:t>
      </w:r>
    </w:p>
    <w:p>
      <w:pPr/>
      <w:r>
        <w:rPr/>
        <w:t xml:space="preserve">علي بن محمد بن علي بن الخليل، أبو الحسن، النيسابوري، الرمجاري.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وترجمه في ’’تاريخه’’: فقال: قد كتبنا عن أبيه، وكان أبو الحسن يشتغل بالتجارة، ثم قعد ولزم شيخنا أبا عمرو بن نجيد، والعبادة إلى أن مات - رحمه الله - سمع أبا بكر بن حمدويه بن خالد، وتوفي في ذي القعدة سنة خمس وثمانين وثلاثمائة.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’’مختصر تاريخ نيسابور’’ (47/ أ)، ’’الأنساب’’ (3/ 99).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2026-10-13T20:12:20+03:00</dcterms:created>
  <dcterms:modified xsi:type="dcterms:W3CDTF">2026-10-13T20:12:20+03:00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